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sz w:val="32"/>
          <w:szCs w:val="32"/>
        </w:rPr>
      </w:pPr>
      <w:r>
        <w:rPr>
          <w:rFonts w:eastAsia="仿宋_GB2312"/>
          <w:sz w:val="32"/>
          <w:szCs w:val="32"/>
        </w:rPr>
        <w:t>附件1</w:t>
      </w:r>
    </w:p>
    <w:p>
      <w:pPr>
        <w:spacing w:line="560" w:lineRule="exact"/>
        <w:jc w:val="center"/>
        <w:rPr>
          <w:rFonts w:eastAsia="方正小标宋简体"/>
          <w:sz w:val="44"/>
          <w:szCs w:val="44"/>
        </w:rPr>
      </w:pPr>
      <w:r>
        <w:rPr>
          <w:rFonts w:eastAsia="方正小标宋简体"/>
          <w:sz w:val="44"/>
          <w:szCs w:val="44"/>
        </w:rPr>
        <w:t>富川</w:t>
      </w:r>
      <w:r>
        <w:rPr>
          <w:rFonts w:hint="eastAsia" w:eastAsia="方正小标宋简体"/>
          <w:sz w:val="44"/>
          <w:szCs w:val="44"/>
        </w:rPr>
        <w:t>瑶族自治县自然资源局</w:t>
      </w:r>
      <w:r>
        <w:rPr>
          <w:rFonts w:eastAsia="方正小标宋简体"/>
          <w:sz w:val="44"/>
          <w:szCs w:val="44"/>
        </w:rPr>
        <w:t>权责事项目录</w:t>
      </w:r>
      <w:r>
        <w:rPr>
          <w:rFonts w:hint="eastAsia" w:eastAsia="方正小标宋简体"/>
          <w:sz w:val="44"/>
          <w:szCs w:val="44"/>
        </w:rPr>
        <w:t xml:space="preserve">   </w:t>
      </w:r>
      <w:r>
        <w:rPr>
          <w:rFonts w:eastAsia="方正小标宋简体"/>
          <w:sz w:val="44"/>
          <w:szCs w:val="44"/>
        </w:rPr>
        <w:t>（</w:t>
      </w:r>
      <w:r>
        <w:rPr>
          <w:rFonts w:hint="eastAsia" w:eastAsia="方正小标宋简体"/>
          <w:sz w:val="44"/>
          <w:szCs w:val="44"/>
        </w:rPr>
        <w:t>自然资源</w:t>
      </w:r>
      <w:r>
        <w:rPr>
          <w:rFonts w:eastAsia="方正小标宋简体"/>
          <w:sz w:val="44"/>
          <w:szCs w:val="44"/>
        </w:rPr>
        <w:t>202</w:t>
      </w:r>
      <w:r>
        <w:rPr>
          <w:rFonts w:hint="eastAsia" w:eastAsia="方正小标宋简体"/>
          <w:sz w:val="44"/>
          <w:szCs w:val="44"/>
          <w:lang w:val="en-US" w:eastAsia="zh-CN"/>
        </w:rPr>
        <w:t>3</w:t>
      </w:r>
      <w:r>
        <w:rPr>
          <w:rFonts w:eastAsia="方正小标宋简体"/>
          <w:sz w:val="44"/>
          <w:szCs w:val="44"/>
        </w:rPr>
        <w:t>年版）</w:t>
      </w:r>
    </w:p>
    <w:p>
      <w:pPr>
        <w:spacing w:line="560" w:lineRule="exact"/>
        <w:jc w:val="center"/>
        <w:rPr>
          <w:rFonts w:eastAsia="方正小标宋简体"/>
          <w:sz w:val="44"/>
          <w:szCs w:val="44"/>
        </w:rPr>
      </w:pPr>
    </w:p>
    <w:tbl>
      <w:tblPr>
        <w:tblStyle w:val="5"/>
        <w:tblW w:w="10916"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135"/>
        <w:gridCol w:w="4490"/>
        <w:gridCol w:w="1299"/>
        <w:gridCol w:w="870"/>
        <w:gridCol w:w="2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jc w:val="center"/>
              <w:rPr>
                <w:b/>
                <w:sz w:val="24"/>
              </w:rPr>
            </w:pPr>
            <w:r>
              <w:rPr>
                <w:rFonts w:hint="eastAsia"/>
                <w:b/>
                <w:sz w:val="24"/>
              </w:rPr>
              <w:t>序号</w:t>
            </w:r>
          </w:p>
        </w:tc>
        <w:tc>
          <w:tcPr>
            <w:tcW w:w="1135" w:type="dxa"/>
            <w:vAlign w:val="center"/>
          </w:tcPr>
          <w:p>
            <w:pPr>
              <w:jc w:val="center"/>
              <w:rPr>
                <w:b/>
                <w:sz w:val="24"/>
              </w:rPr>
            </w:pPr>
            <w:r>
              <w:rPr>
                <w:rFonts w:hint="eastAsia"/>
                <w:b/>
                <w:sz w:val="24"/>
              </w:rPr>
              <w:t>权力分类</w:t>
            </w:r>
          </w:p>
        </w:tc>
        <w:tc>
          <w:tcPr>
            <w:tcW w:w="4490" w:type="dxa"/>
            <w:vAlign w:val="center"/>
          </w:tcPr>
          <w:p>
            <w:pPr>
              <w:jc w:val="center"/>
              <w:rPr>
                <w:b/>
                <w:sz w:val="24"/>
              </w:rPr>
            </w:pPr>
            <w:r>
              <w:rPr>
                <w:rFonts w:hint="eastAsia"/>
                <w:b/>
                <w:sz w:val="24"/>
              </w:rPr>
              <w:t>项目名称</w:t>
            </w:r>
          </w:p>
        </w:tc>
        <w:tc>
          <w:tcPr>
            <w:tcW w:w="1299" w:type="dxa"/>
            <w:vAlign w:val="center"/>
          </w:tcPr>
          <w:p>
            <w:pPr>
              <w:jc w:val="center"/>
              <w:rPr>
                <w:b/>
                <w:sz w:val="24"/>
              </w:rPr>
            </w:pPr>
            <w:r>
              <w:rPr>
                <w:rFonts w:hint="eastAsia"/>
                <w:b/>
                <w:sz w:val="24"/>
              </w:rPr>
              <w:t>子项名称</w:t>
            </w:r>
          </w:p>
        </w:tc>
        <w:tc>
          <w:tcPr>
            <w:tcW w:w="870" w:type="dxa"/>
            <w:vAlign w:val="center"/>
          </w:tcPr>
          <w:p>
            <w:pPr>
              <w:jc w:val="center"/>
              <w:rPr>
                <w:b/>
                <w:sz w:val="24"/>
              </w:rPr>
            </w:pPr>
            <w:r>
              <w:rPr>
                <w:rFonts w:hint="eastAsia"/>
                <w:b/>
                <w:sz w:val="24"/>
              </w:rPr>
              <w:t>办理项</w:t>
            </w:r>
          </w:p>
        </w:tc>
        <w:tc>
          <w:tcPr>
            <w:tcW w:w="2413" w:type="dxa"/>
            <w:vAlign w:val="center"/>
          </w:tcPr>
          <w:p>
            <w:pPr>
              <w:jc w:val="center"/>
              <w:rPr>
                <w:b/>
                <w:sz w:val="24"/>
              </w:rPr>
            </w:pPr>
            <w:r>
              <w:rPr>
                <w:rFonts w:hint="eastAsia"/>
                <w:b/>
                <w:sz w:val="24"/>
              </w:rPr>
              <w:t>承办的内设机构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建设项目用地预审</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富川瑶族自治县自然资源局规划股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建设项目选址意见书核发</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富川瑶族自治县自然资源局规划股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开采矿产资源审批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政府投资的地质灾害治理工程竣工验收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建设用地改变用途审核</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划拨土地使用权和地上建筑物及附着物所有权转让、出租、抵押审批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乡（镇）村企业使用集体建设用地审批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富川瑶族自治县自然资源局耕地保护股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乡（镇）村公共设施、公益事业使用集体建设用地审批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富川瑶族自治县自然资源局耕地保护股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临时用地审批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富川瑶族自治县自然资源局耕地保护股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土地开垦区内开发未确定使用权的国有土地从事生产审查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国有建设用地使用权划拨批准</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国有建设用地使用权出让后土地使用权分割转让批准</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非农业建设项目（用地）延期动工审批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富川瑶族自治县自然资源局开发利用股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法人或者其他组织需要利用属于国家秘密的基础测绘成果审批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乡村建设规划许可证核发</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w:t>
            </w:r>
          </w:p>
        </w:tc>
        <w:tc>
          <w:tcPr>
            <w:tcW w:w="1135"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pacing w:val="-4"/>
                <w:sz w:val="20"/>
                <w:szCs w:val="20"/>
              </w:rPr>
              <w:t>建设用地（含临时用地）规划许可证核发</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w:t>
            </w:r>
          </w:p>
        </w:tc>
        <w:tc>
          <w:tcPr>
            <w:tcW w:w="1135"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z w:val="20"/>
                <w:szCs w:val="20"/>
              </w:rPr>
              <w:t>行政许可</w:t>
            </w:r>
          </w:p>
        </w:tc>
        <w:tc>
          <w:tcPr>
            <w:tcW w:w="4490"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pacing w:val="-4"/>
                <w:sz w:val="20"/>
                <w:szCs w:val="20"/>
              </w:rPr>
              <w:t>建设工程规划类许可证核发</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w:t>
            </w:r>
          </w:p>
        </w:tc>
        <w:tc>
          <w:tcPr>
            <w:tcW w:w="1135"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pacing w:val="-4"/>
                <w:sz w:val="20"/>
                <w:szCs w:val="20"/>
              </w:rPr>
              <w:t>行政处罚</w:t>
            </w:r>
          </w:p>
        </w:tc>
        <w:tc>
          <w:tcPr>
            <w:tcW w:w="4490" w:type="dxa"/>
            <w:vAlign w:val="center"/>
          </w:tcPr>
          <w:p>
            <w:pPr>
              <w:widowControl/>
              <w:adjustRightInd w:val="0"/>
              <w:snapToGrid w:val="0"/>
              <w:spacing w:line="234" w:lineRule="exact"/>
              <w:jc w:val="center"/>
              <w:rPr>
                <w:rFonts w:eastAsia="仿宋_GB2312" w:cs="宋体"/>
                <w:snapToGrid w:val="0"/>
                <w:color w:val="000000"/>
                <w:spacing w:val="-4"/>
                <w:sz w:val="20"/>
                <w:szCs w:val="20"/>
              </w:rPr>
            </w:pPr>
            <w:r>
              <w:rPr>
                <w:rFonts w:hint="eastAsia" w:eastAsia="仿宋_GB2312" w:cs="宋体"/>
                <w:snapToGrid w:val="0"/>
                <w:color w:val="000000"/>
                <w:spacing w:val="-4"/>
                <w:sz w:val="20"/>
                <w:szCs w:val="20"/>
              </w:rPr>
              <w:t>对买卖或者以其他形式非法转让土地行为的处罚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w:t>
            </w:r>
          </w:p>
        </w:tc>
        <w:tc>
          <w:tcPr>
            <w:tcW w:w="1135"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对未经批准，违法转让、出租、抵押以划拨方式取得的国有土地使用权行为的处罚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w:t>
            </w:r>
          </w:p>
        </w:tc>
        <w:tc>
          <w:tcPr>
            <w:tcW w:w="1135"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对擅自转让房地产开发项目行为的处罚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21</w:t>
            </w:r>
          </w:p>
        </w:tc>
        <w:tc>
          <w:tcPr>
            <w:tcW w:w="1135"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23"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对违法占用耕地建窑、建坟或者擅自在耕地上建房、挖砂、采石、采矿、取土等，破坏种植条件行为中涉及自然资源主管部门职责的处罚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22</w:t>
            </w:r>
          </w:p>
        </w:tc>
        <w:tc>
          <w:tcPr>
            <w:tcW w:w="1135" w:type="dxa"/>
            <w:vAlign w:val="center"/>
          </w:tcPr>
          <w:p>
            <w:pPr>
              <w:widowControl/>
              <w:adjustRightInd w:val="0"/>
              <w:snapToGrid w:val="0"/>
              <w:spacing w:line="234"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4"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对拒不履行土地复垦义务行为的处罚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23</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对土地复垦义务人未按照规定补充编制土地复垦方案行为的处罚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24</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对土地复垦义务人未按照规定将土地复垦费用列入生产成本或者建设项目总投资行为的处罚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25</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对土地复垦义务人未按照规定对拟损毁的耕地、林地、牧草地进行表土剥离行为的处罚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26</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对土地复垦义务人未按照规定报告土地损毁情况、土地复垦费用使用情况或者土地复垦工程实施情况行为的处罚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27</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对土地复垦义务人不依法缴纳土地复垦费行为的处罚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28</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对土地复垦义务人拒绝、阻碍自然资源主管部门监督检查或者在接受监督检查时弄虚作假行为的处罚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29</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对在国土空间规划确定的禁止开垦的范围内从事土地开发活动的处罚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30</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对在国土空间规划确定的开垦的范围内，未经批准擅自开发土地行为的处罚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31</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对在土地利用总体规划制定前已建的不符合土地利用总体规划确定用途的建筑物、构筑物重建、扩建行为的处罚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32</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对超过批准的数量占用土地行为的处罚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33</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对未经批准或者采取欺骗手段骗取批准，非法占用土地行为的处罚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34</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对有关当事人拒不归还非法批准、使用的土地行为的处罚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35</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对违规批准占用土地行为的处罚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36</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对依法收回国有土地使用权当事人拒不交出土地的，临时使用土地期满拒不归还土地的，或者不按照批准的用途使用土地行为的处罚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37</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对擅自将农民集体所有的土地通过出让、转让使用权或者出租等方式用于非农业建设，或者违反《土地管理法》规定，将集体经营性建设用地通过出让、出租等方式交由单位或者个人使用行为的处罚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38</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对临时用地期满之日起一年内未完成复垦或者未恢复种植条件行为的处罚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39</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对在临时使用的土地上修建永久性建筑物、构筑物行为的处罚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40</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对违法占用永久基本农田建窑、建房、建坟、挖砂、采石、采矿、取土、堆放固体废弃物或者从事其他活动破坏基本农田，毁坏种植条件行为的处罚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41</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对破坏或者擅自改变永久基本农田标志行为的处罚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42</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对接受土地调查的单位和个人无正当理由不履行现场指界义务行为的处罚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43</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对接受调查的单位和个人拒绝或者阻挠土地调查人员依法进行调查行为的处罚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44</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对接受调查的单位和个人提供虚假调查资料行为的处罚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45</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对接受调查的单位和个人拒绝提供调查资料行为的处罚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46</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对接受调查的单位和个人转移、隐匿、篡改、毁弃原始记录、土地登记簿等相关资料行为的处罚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47</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对未按照规定期限和条件开发利用土地行为的处罚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48</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对伪造不动产权属证书、不动产登记证明，或者买卖、使用伪造、变造的不动产权属证书、不动产登记证明行为的处罚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49</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对转让房地产时，不符合法律规定的条件，非法转让以出让方式取得的土地使用权行为的处罚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50</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对转让房地产时未经批准，非法转让以划拨方式取得的土地使用权的，或者经过批准转让以划拨方式取得的土地使用权，但未按规定缴纳土地使用权出让金行为的处罚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51</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对违反规定伪造、涂改和买卖土地权属证书行为的处罚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52</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对未取得采矿许可证擅自采矿，擅自进入国家规划矿区、对国民经济具有重要价值的矿区和他人矿区范围采矿，擅自开采国家规定实行保护性开采特定矿种行为的处罚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53</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对超越批准的矿区范围采矿行为的处罚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54</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对将探矿权、采矿权倒卖牟利行为的处罚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55</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对买卖、出租或者以其他形式转让矿产资源行为的处罚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56</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对采取破坏性的开采方法开采矿产资源的处罚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57</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对非法用采矿权作抵押行为的处罚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58</w:t>
            </w:r>
          </w:p>
        </w:tc>
        <w:tc>
          <w:tcPr>
            <w:tcW w:w="1135"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1"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对未经批准擅自转让探矿权、采矿权行为的处罚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59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对未取得勘查许可证擅自进行勘查工作的，超越批准的勘查区块范围进行勘查工作行为的处罚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对未经批准擅自进行滚动勘探开发、边探边采或者试采行为的处罚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对擅自印制或者伪造、冒用勘查许可证行为的处罚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对不按照《矿产资源勘查区块登记管理办法》的规定备案、报告有关情况、拒绝接受监督检查或者弄虚作假行为的处罚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对未完成最低勘查投入行为的处罚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对已经领取勘查许可证的勘查项目，满</w:t>
            </w:r>
            <w:r>
              <w:rPr>
                <w:rFonts w:hint="eastAsia" w:eastAsia="仿宋_GB2312"/>
                <w:snapToGrid w:val="0"/>
                <w:color w:val="000000"/>
                <w:sz w:val="20"/>
                <w:szCs w:val="20"/>
              </w:rPr>
              <w:t>6</w:t>
            </w:r>
            <w:r>
              <w:rPr>
                <w:rFonts w:hint="eastAsia" w:eastAsia="仿宋_GB2312" w:cs="宋体"/>
                <w:snapToGrid w:val="0"/>
                <w:color w:val="000000"/>
                <w:sz w:val="20"/>
                <w:szCs w:val="20"/>
              </w:rPr>
              <w:t>个月未开始施工，或者施工后无故停止勘查工作满</w:t>
            </w:r>
            <w:r>
              <w:rPr>
                <w:rFonts w:hint="eastAsia" w:eastAsia="仿宋_GB2312"/>
                <w:snapToGrid w:val="0"/>
                <w:color w:val="000000"/>
                <w:sz w:val="20"/>
                <w:szCs w:val="20"/>
              </w:rPr>
              <w:t>6</w:t>
            </w:r>
            <w:r>
              <w:rPr>
                <w:rFonts w:hint="eastAsia" w:eastAsia="仿宋_GB2312" w:cs="宋体"/>
                <w:snapToGrid w:val="0"/>
                <w:color w:val="000000"/>
                <w:sz w:val="20"/>
                <w:szCs w:val="20"/>
              </w:rPr>
              <w:t>个月行为的处罚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对不办理采矿许可证变更登记或者注销登记手续行为的处罚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对采矿权人不依照规定提交年度报告，填报矿产资源统计基础表，虚报、瞒报、拒报、迟报矿产资源统计资料，拒绝接受检查、现场抽查或者弄虚作假行为的处罚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对破坏或者擅自移动矿区范围界桩或者地面标志行为的处罚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对擅自印制或者伪造、冒用采矿许可证行为的处罚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69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对不按照矿产资源开采登记管理办法的规定，不按期缴纳应当缴纳费用行为的处罚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对采矿权人未按规定缴纳矿产资源补偿费和滞纳金行为的处罚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对采矿权人采取伪报矿种，隐匿产量、销售数量，或者伪报销售价格、实际开采回采率等手段，不缴或者少缴矿产资源补偿费行为的处罚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对未按规定报送征收矿产资源补偿费有关资料行为的处罚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对以承包等方式擅自转让采矿权行为的处罚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对探矿权人未采取治理恢复措施行为的处罚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擅自移动和破坏碑石、界标，进行采石、取土、开矿、放牧、砍伐以及采集标本化石，对地质遗迹造成污染和破坏，不服从保护区管理机构管理以及从事科研活动未向管理单位提交研究成果副本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对矿业权人不按照批准的勘查设计或者矿产资源开发利用方案施工行为的处罚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对探矿权人不及时对遗留的钻孔、探井、巷道和形成的危岩、危坡采取回填、封闭或者其他消除地质灾害隐患措施行为的处罚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对采矿权人逾期履行地质环境治理责任行为的处罚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79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对违反规定侵占、损毁和擅自移动地质环境监测和保护标志、设施，非法买卖和擅自采掘古生物化石，工程建设采石、施工开挖破坏地质地貌不予绿化或者治理行为的处罚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对违反规定侵占、破坏或者擅自开采钟乳石行为的处罚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对违反规定未取得采矿许可证擅自采集钟乳石行为的处罚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对违反规定出售钟乳石样品行为的处罚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对违反规定未按照批准的采集方案采集或者使用破坏性的爆破、击打等方式采集钟乳石行为的处罚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对违反规定未经批准擅自开发钟乳石洞穴进行旅游活动行为的处罚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对违反规定采集钟乳石的类型、数量、具体位置未经核准或者经核准后未委托有相应资质条件的专业人员采集行为的处罚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对违反规定实施损坏钟乳石行为的处罚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钟乳石经营者未在其经营的钟乳石上标明来源、采集的时间、地点和钟乳石类型、未随附该钟乳石采集人依法取得的采矿许可证复印件或者未将《广西壮族自治区钟乳石资源保护条例》施行前已采集的钟乳石的有关资料报送当地县级以上自然资源主管部门登记、造册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对钟乳石经营者依法取得营业执照，未办理备案手续行为的处罚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89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对违反规定未建立钟乳石采集、经营档案或者未将钟乳石经营档案报当地县级以上自然资源主管部门备案行为的处罚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对违反规定未携带采矿许可证在自治区境内运输钟乳石行为的处罚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对建设单位未按照规定对地质灾害易发区内的建设工程进行地质灾害危险性评估、配套的地质灾害治理工程未经验收或者经验收不合格主体工程即投入生产或者使用行为的处罚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对工程建设等人为活动引发的地质灾害不予治理、逾期不治理或者治理不符合要求行为的处罚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对在地质灾害危险区内爆破、削坡、进行工程建设以及从事其他可能引发地质灾害活动行为的处罚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对在地质灾害危险性评估中弄虚作假或者故意隐瞒地质灾害真实情况行为的处罚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对在地质灾害治理工程勘查、设计、施工以及监理活动中弄虚作假、降低工程质量行为的处罚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对无资质证书或者超越其资质等级许可的范围承揽地质灾害危险性评估、地质灾害治理工程勘查、设计、施工及监理业务行为的处罚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对以其他单位的名义或者允许其他单位以本单位的名义承揽地质灾害危险性评估、地质灾害治理工程勘查、设计、施工和监理业务行为的处罚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对侵占、损毁、损坏地质灾害监测设施或者地质灾害治理工程设施行为的处罚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99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对不及时办理地质灾害危险性评估资质证书变更、注销手续行为的处罚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对不按时办理地质灾害危险性评估单位资质和项目备案行为的处罚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对不及时办理地质灾害治理工程勘查设计施工单位资质证书变更、注销手续行为的处罚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对未按规定及时办理地质灾害治理工程监理单位资质证书变更、注销手续行为的处罚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对不按规定办理地质灾害治理工程监理单位资质和项目备案手续行为的处罚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对未按照批准的矿山地质环境保护与治理恢复方案治理的，或者在矿山被批准关闭、闭坑前未完成治理恢复行为的处罚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对未按规定计提矿山地质环境治理恢复基金行为的处罚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对应当编制矿山地质环境保护与土地复垦方案而未编制的，或者扩大开采规模、变更矿区范围或者开采方式，未重新编制矿山地质环境保护与土地复垦方案并经原审批机关批准行为的处罚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对扰乱、阻碍矿山地质环境保护与治理恢复工作，侵占、损坏、损毁矿山地质环境监测设施或者矿山地质环境保护与治理恢复设施行为的处罚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对未经批准发掘古生物化石行为的处罚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109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对未按照批准的发掘方案发掘古生物化石行为的处罚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对古生物化石发掘单位未按照规定移交发掘的古生物化石行为的处罚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对古生物化石收藏单位不符合收藏条件收藏古生物化石行为的处罚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对古生物化石收藏单位未按照规定建立本单位收藏的古生物化石档案行为的处罚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对国有收藏单位将其收藏的重点保护古生物化石违法转让、交换、赠与给非国有收藏单位或者个人行为的处罚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对单位或者个人将其收藏的重点保护古生物化石转让、交换、赠与、质押给外国人或者外国组织行为的处罚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对有关单位和工作人员利用职务上的便利，将国有古生物化石非法占为己有的，有违法所得行为的处罚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对单位或者个人违反《古生物化石保护条例实施办法》的规定，收藏违法获得或者不能证明合法来源的重点保护古生物化石行为的处罚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对单位或者个人在生产、建设活动中发现古生物化石不报告行为的处罚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对矿山企业未达到经依法审查确定的开采回采率、采矿贫化率、选矿回收率、矿山水循环利用率和土地复垦等指标行为的处罚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119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对因开采设计、采掘计划的决策错误，开采回采率、</w:t>
            </w:r>
            <w:r>
              <w:rPr>
                <w:rFonts w:hint="eastAsia" w:eastAsia="仿宋_GB2312"/>
                <w:snapToGrid w:val="0"/>
                <w:color w:val="000000"/>
                <w:sz w:val="20"/>
                <w:szCs w:val="20"/>
              </w:rPr>
              <w:t xml:space="preserve"> </w:t>
            </w:r>
            <w:r>
              <w:rPr>
                <w:rFonts w:hint="eastAsia" w:eastAsia="仿宋_GB2312" w:cs="宋体"/>
                <w:snapToGrid w:val="0"/>
                <w:color w:val="000000"/>
                <w:sz w:val="20"/>
                <w:szCs w:val="20"/>
              </w:rPr>
              <w:t>采矿贫化率和选矿回收率长期达不到设计要求，造成资源损失行为的处罚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对矿山的开拓、采准及采矿工程不按照开采设计进行施工，造成资源破坏损失行为的处罚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对矿山企业不按照设计进行开采，任意丢掉矿体，造成资源破坏损失行为的处罚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对在采、选主要矿产的同时，未对具有工业价值的共生、伴生矿产在技术可行、经济合理的条件下未进行综合回收或者对暂时不能综合回收利用的矿产，未采取有效的保护措施，造成资源破坏损失行为的处罚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对矿山企业随意变动批准的计算矿产储量的工业指标进行矿产储量的圈定、计算及开采，造成资源破坏损失行为的处罚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对擅自废除坑道和其他工程，造成资源破坏损失行为的处罚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对城乡规划编制单位以欺骗、贿赂等不正当手段取得城乡规划编制单位资质证书行为的处罚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对城乡规划编制单位涂改、倒卖、出租、出借或者以其他形式非法转让资质证书行为的处罚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对城乡规划编制单位超越资质等级许可的范围承揽城乡规划编制工作行为的处罚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对城乡规划编制单位违反国家有关标准编制城乡规划行为的处罚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129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对城乡规划编制单位未依法取得资质证书承揽城乡规划编制工作行为的处罚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对城乡规划编制单位以欺骗手段取得资质证书承揽城乡规划编制工作行为的处罚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对城乡规划编制单位未按照要求提供信用档案信息行为的处罚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对建设单位或者个人未经批准进行临时建设行为的处罚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对建设单位或者个人未按照批准内容进行临时建设行为的处罚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对建设单位或者个人超过批准期限不拆除临时建筑物、构筑物行为的处罚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对建设单位未在建设工程竣工验收后六个月内向城乡规划主管部门报送有关竣工验收资料行为的处罚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对外国的组织或者个人未经批准，或者未与中华人民共和国有关部门、单位合作，擅自从事测绘活动行为的处罚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对实施基础测绘项目，不使用全国统一的测绘基准和测绘系统或者不执行国家规定的测绘技术规范和标准行为的处罚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对未经批准擅自建立相对独立的平面坐标系统，或者采用不符合国家标准的基础地理信息数据建立地理信息系统行为的处罚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139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对卫星导航定位基准站建设单位未报备案行为的处罚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对卫星导航定位基准站的建设和运行维护不符合国家标准、要求行为的处罚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对未取得测绘资质证书，擅自从事测绘活动行为的处罚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对以欺骗手段取得测绘资质证书从事测绘活动行为的处罚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对测绘单位超越资质等级许可的范围从事测绘活动行为的处罚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对测绘单位以其他测绘单位的名义从事测绘活动行为的处罚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对测绘单位允许其他单位以本单位的名义从事测绘活动行为的处罚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对测绘资质单位的名称、注册地址或者法定代表人发生变化未及时申请变更行为的处罚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对测绘项目的招标单位让不具有相应资质等级的测绘单位中标，或者让测绘单位低于测绘成本中标行为的处罚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对中标的测绘单位向他人转让测绘项目行为的处罚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149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对未取得测绘执业资格，擅自从事测绘活动行为的处罚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对不汇交测绘成果资料的，测绘项目出资人逾期不汇交的，承担国家投资的测绘项目的单位逾期不汇交的，自暂扣测绘资质证书之日起六个月内仍不汇交行为的处罚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对擅自发布中华人民共和国领域和中华人民共和国管辖的其他海域的重要地理信息数据行为的处罚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在对社会公众有影响的活动中使用未经依法公布的重要地理信息数据行为的处罚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对未在地图的适当位置显著标注审图号，或者未按照有关规定送交样本行为的处罚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对应当送审而未送审地图或者附着地图图形产品行为的处罚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对不需要送审的地图不符合国家有关标准和规定行为的处罚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对经审核不符合国家有关标准和规定的地图未按照审核要求修改即向社会公开行为的处罚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对弄虚作假、伪造申请材料骗取地图审核批准文件，或者伪造、冒用地图审核批准文件和审图号行为的处罚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对互联网地图服务单位使用未经依法审核批准的地图提供服务，或者未对互联网地图新增内容进行核查校对行为的处罚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159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对通过互联网上传标注了含有按照国家有关规定在地图上不得表示的内容行为的处罚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对最终向社会公开的地图与审核通过的地图内容及表现形式不一致，或者互联网地图服务审图号有效期届满未重新送审行为的处罚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对测绘单位测绘成果质量不合格行为的处罚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对损毁、擅自移动永久性测量标志或者正在使用中的临时性测量标志行为的处罚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对侵占永久性测量标志用地行为的处罚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对在永久性测量标志安全控制范围内从事危害测量标志安全和使用效能的活动行为的处罚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对擅自拆除永久性测量标志或者使永久性测量标志失去使用效能，或者拒绝支付迁建费用行为的处罚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对违反操作规程使用永久性测量标志，造成永久性测量标志毁损行为的处罚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对其他有损测量标志安全和使用效能行为的处罚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对干扰或者阻挠测量标志建设单位依法使用土地或者在建筑物上建设永久性测量标志行为的处罚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169</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对无证使用永久性测量标志并且拒绝县级以上人民政府管理测绘工作的部门监督和负责保管测量标志的单位和人员查询行为的处罚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170</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对地理信息生产、保管、利用单位未对属于国家秘密的地理信息的获取、持有、提供、利用情况进行登记、长期保存的，泄露国家秘密行为的处罚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171</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对违法获取、持有、提供、利用属于国家秘密的地理信息行为的处罚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172</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对测绘成果保管单位未按照测绘成果资料的保管制度管理测绘成果资料，造成测绘成果资料损毁、散失行为的处罚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173</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对测绘成果保管单位擅自转让汇交的测绘成果资料行为的处罚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174</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对擅自复制、转让或者转借涉密测绘成果行为的处罚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175</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对测绘成果保管单位未依法向测绘成果的使用人提供测绘成果资料行为的处罚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176</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对损毁、破坏测绘地理信息基础设施或者从事危害测绘地理信息基础设施安全和使用效能活动行为的处罚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177</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对测绘单位将测绘项目违法分包行为的处罚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178</w:t>
            </w:r>
          </w:p>
        </w:tc>
        <w:tc>
          <w:tcPr>
            <w:tcW w:w="1135"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行政处罚</w:t>
            </w:r>
          </w:p>
        </w:tc>
        <w:tc>
          <w:tcPr>
            <w:tcW w:w="4490" w:type="dxa"/>
            <w:vAlign w:val="center"/>
          </w:tcPr>
          <w:p>
            <w:pPr>
              <w:widowControl/>
              <w:adjustRightInd w:val="0"/>
              <w:snapToGrid w:val="0"/>
              <w:spacing w:line="23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对测绘单位实施测绘项目不按照规定备案行为的处罚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179</w:t>
            </w:r>
          </w:p>
        </w:tc>
        <w:tc>
          <w:tcPr>
            <w:tcW w:w="1135"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行政强制</w:t>
            </w:r>
          </w:p>
        </w:tc>
        <w:tc>
          <w:tcPr>
            <w:tcW w:w="4490"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查封、扣押与涉嫌违法测绘行为直接相关的设备、工具、原材料、测绘成果资料等</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180</w:t>
            </w:r>
          </w:p>
        </w:tc>
        <w:tc>
          <w:tcPr>
            <w:tcW w:w="1135"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不动产登记费征收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181</w:t>
            </w:r>
          </w:p>
        </w:tc>
        <w:tc>
          <w:tcPr>
            <w:tcW w:w="1135" w:type="dxa"/>
            <w:vAlign w:val="center"/>
          </w:tcPr>
          <w:p>
            <w:pPr>
              <w:widowControl/>
              <w:adjustRightInd w:val="0"/>
              <w:snapToGrid w:val="0"/>
              <w:spacing w:line="28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80" w:lineRule="exact"/>
              <w:jc w:val="center"/>
              <w:rPr>
                <w:rFonts w:eastAsia="仿宋_GB2312" w:cs="宋体"/>
                <w:snapToGrid w:val="0"/>
                <w:color w:val="000000"/>
                <w:sz w:val="20"/>
                <w:szCs w:val="20"/>
              </w:rPr>
            </w:pPr>
            <w:r>
              <w:rPr>
                <w:rFonts w:hint="eastAsia" w:eastAsia="仿宋_GB2312" w:cs="宋体"/>
                <w:snapToGrid w:val="0"/>
                <w:color w:val="000000"/>
                <w:sz w:val="20"/>
                <w:szCs w:val="20"/>
              </w:rPr>
              <w:t>耕地开垦费征收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富川瑶族自治县自然资源局耕地保护股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182</w:t>
            </w:r>
          </w:p>
        </w:tc>
        <w:tc>
          <w:tcPr>
            <w:tcW w:w="1135" w:type="dxa"/>
            <w:vAlign w:val="center"/>
          </w:tcPr>
          <w:p>
            <w:pPr>
              <w:widowControl/>
              <w:adjustRightInd w:val="0"/>
              <w:snapToGrid w:val="0"/>
              <w:spacing w:line="25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50" w:lineRule="exact"/>
              <w:jc w:val="center"/>
              <w:rPr>
                <w:rFonts w:eastAsia="仿宋_GB2312" w:cs="宋体"/>
                <w:snapToGrid w:val="0"/>
                <w:color w:val="000000"/>
                <w:sz w:val="20"/>
                <w:szCs w:val="20"/>
              </w:rPr>
            </w:pPr>
            <w:r>
              <w:rPr>
                <w:rFonts w:hint="eastAsia" w:eastAsia="仿宋_GB2312" w:cs="宋体"/>
                <w:snapToGrid w:val="0"/>
                <w:color w:val="000000"/>
                <w:sz w:val="20"/>
                <w:szCs w:val="20"/>
              </w:rPr>
              <w:t>土地闲置费征收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富川瑶族自治县自然资源局开发利用股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183</w:t>
            </w:r>
          </w:p>
        </w:tc>
        <w:tc>
          <w:tcPr>
            <w:tcW w:w="1135" w:type="dxa"/>
            <w:vAlign w:val="center"/>
          </w:tcPr>
          <w:p>
            <w:pPr>
              <w:widowControl/>
              <w:adjustRightInd w:val="0"/>
              <w:snapToGrid w:val="0"/>
              <w:spacing w:line="30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300" w:lineRule="exact"/>
              <w:jc w:val="center"/>
              <w:rPr>
                <w:rFonts w:eastAsia="仿宋_GB2312" w:cs="宋体"/>
                <w:snapToGrid w:val="0"/>
                <w:color w:val="000000"/>
                <w:sz w:val="20"/>
                <w:szCs w:val="20"/>
              </w:rPr>
            </w:pPr>
            <w:r>
              <w:rPr>
                <w:rFonts w:hint="eastAsia" w:eastAsia="仿宋_GB2312" w:cs="宋体"/>
                <w:snapToGrid w:val="0"/>
                <w:color w:val="000000"/>
                <w:sz w:val="20"/>
                <w:szCs w:val="20"/>
              </w:rPr>
              <w:t>测绘成果使用费征收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184</w:t>
            </w:r>
          </w:p>
        </w:tc>
        <w:tc>
          <w:tcPr>
            <w:tcW w:w="1135" w:type="dxa"/>
            <w:vAlign w:val="center"/>
          </w:tcPr>
          <w:p>
            <w:pPr>
              <w:widowControl/>
              <w:adjustRightInd w:val="0"/>
              <w:snapToGrid w:val="0"/>
              <w:spacing w:line="284"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84" w:lineRule="exact"/>
              <w:jc w:val="center"/>
              <w:rPr>
                <w:rFonts w:eastAsia="仿宋_GB2312" w:cs="宋体"/>
                <w:snapToGrid w:val="0"/>
                <w:color w:val="000000"/>
                <w:sz w:val="20"/>
                <w:szCs w:val="20"/>
              </w:rPr>
            </w:pPr>
            <w:r>
              <w:rPr>
                <w:rFonts w:hint="eastAsia" w:eastAsia="仿宋_GB2312" w:cs="宋体"/>
                <w:snapToGrid w:val="0"/>
                <w:color w:val="000000"/>
                <w:sz w:val="20"/>
                <w:szCs w:val="20"/>
              </w:rPr>
              <w:t>国有土地使用权出让征收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185</w:t>
            </w:r>
          </w:p>
        </w:tc>
        <w:tc>
          <w:tcPr>
            <w:tcW w:w="1135" w:type="dxa"/>
            <w:vAlign w:val="center"/>
          </w:tcPr>
          <w:p>
            <w:pPr>
              <w:widowControl/>
              <w:adjustRightInd w:val="0"/>
              <w:snapToGrid w:val="0"/>
              <w:spacing w:line="26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60" w:lineRule="exact"/>
              <w:jc w:val="center"/>
              <w:rPr>
                <w:rFonts w:eastAsia="仿宋_GB2312" w:cs="宋体"/>
                <w:snapToGrid w:val="0"/>
                <w:color w:val="000000"/>
                <w:sz w:val="20"/>
                <w:szCs w:val="20"/>
              </w:rPr>
            </w:pPr>
            <w:r>
              <w:rPr>
                <w:rFonts w:hint="eastAsia" w:eastAsia="仿宋_GB2312" w:cs="宋体"/>
                <w:snapToGrid w:val="0"/>
                <w:color w:val="000000"/>
                <w:sz w:val="20"/>
                <w:szCs w:val="20"/>
              </w:rPr>
              <w:t>矿产资源采矿登记费征收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富川瑶族自治县自然资源局地质矿管股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186</w:t>
            </w:r>
          </w:p>
        </w:tc>
        <w:tc>
          <w:tcPr>
            <w:tcW w:w="1135" w:type="dxa"/>
            <w:vAlign w:val="center"/>
          </w:tcPr>
          <w:p>
            <w:pPr>
              <w:widowControl/>
              <w:adjustRightInd w:val="0"/>
              <w:snapToGrid w:val="0"/>
              <w:spacing w:line="26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行政征收</w:t>
            </w:r>
          </w:p>
        </w:tc>
        <w:tc>
          <w:tcPr>
            <w:tcW w:w="4490" w:type="dxa"/>
            <w:vAlign w:val="center"/>
          </w:tcPr>
          <w:p>
            <w:pPr>
              <w:widowControl/>
              <w:adjustRightInd w:val="0"/>
              <w:snapToGrid w:val="0"/>
              <w:spacing w:line="260" w:lineRule="exact"/>
              <w:jc w:val="center"/>
              <w:rPr>
                <w:rFonts w:eastAsia="仿宋_GB2312" w:cs="宋体"/>
                <w:snapToGrid w:val="0"/>
                <w:color w:val="000000"/>
                <w:sz w:val="20"/>
                <w:szCs w:val="20"/>
              </w:rPr>
            </w:pPr>
            <w:r>
              <w:rPr>
                <w:rFonts w:hint="eastAsia" w:eastAsia="仿宋_GB2312" w:cs="宋体"/>
                <w:snapToGrid w:val="0"/>
                <w:color w:val="000000"/>
                <w:sz w:val="20"/>
                <w:szCs w:val="20"/>
              </w:rPr>
              <w:t>采矿权使用费及矿业权出让收益征收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富川瑶族自治县自然资源局地质矿管股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187</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行政给付</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征地补偿安置给付</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富川瑶族自治县自然资源局财务股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188</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自然资源卫片执法</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富川瑶族自治县自然资源局执法监察股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189</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矿产资源、地质遗迹保护监督检查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富川瑶族自治县自然资源局地质矿管股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190</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测绘成果质量监督检查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191</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对外国的组织或者个人来华测绘的监督检查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192</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对涉密测绘成果领用单位的保密检查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193</w:t>
            </w:r>
          </w:p>
        </w:tc>
        <w:tc>
          <w:tcPr>
            <w:tcW w:w="1135" w:type="dxa"/>
            <w:vAlign w:val="center"/>
          </w:tcPr>
          <w:p>
            <w:pPr>
              <w:widowControl/>
              <w:adjustRightInd w:val="0"/>
              <w:snapToGrid w:val="0"/>
              <w:spacing w:line="272"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72"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对地图编制、出版、展示、登载和互联网地图服务的监督检查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194</w:t>
            </w:r>
          </w:p>
        </w:tc>
        <w:tc>
          <w:tcPr>
            <w:tcW w:w="1135" w:type="dxa"/>
            <w:vAlign w:val="center"/>
          </w:tcPr>
          <w:p>
            <w:pPr>
              <w:widowControl/>
              <w:adjustRightInd w:val="0"/>
              <w:snapToGrid w:val="0"/>
              <w:spacing w:line="272"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72" w:lineRule="exact"/>
              <w:jc w:val="center"/>
              <w:rPr>
                <w:rFonts w:eastAsia="仿宋_GB2312" w:cs="宋体"/>
                <w:snapToGrid w:val="0"/>
                <w:color w:val="000000"/>
                <w:sz w:val="20"/>
                <w:szCs w:val="20"/>
              </w:rPr>
            </w:pPr>
            <w:r>
              <w:rPr>
                <w:rFonts w:hint="eastAsia" w:eastAsia="仿宋_GB2312" w:cs="宋体"/>
                <w:snapToGrid w:val="0"/>
                <w:color w:val="000000"/>
                <w:sz w:val="20"/>
                <w:szCs w:val="20"/>
              </w:rPr>
              <w:t>城乡规划编制、审批、实施、修改的监督检查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富川瑶族自治县自然资源局规划股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6"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195</w:t>
            </w:r>
          </w:p>
        </w:tc>
        <w:tc>
          <w:tcPr>
            <w:tcW w:w="1135" w:type="dxa"/>
            <w:vAlign w:val="center"/>
          </w:tcPr>
          <w:p>
            <w:pPr>
              <w:widowControl/>
              <w:adjustRightInd w:val="0"/>
              <w:snapToGrid w:val="0"/>
              <w:spacing w:line="294"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4"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对不动产测绘的监督检查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196</w:t>
            </w:r>
          </w:p>
        </w:tc>
        <w:tc>
          <w:tcPr>
            <w:tcW w:w="1135" w:type="dxa"/>
            <w:vAlign w:val="center"/>
          </w:tcPr>
          <w:p>
            <w:pPr>
              <w:widowControl/>
              <w:adjustRightInd w:val="0"/>
              <w:snapToGrid w:val="0"/>
              <w:spacing w:line="294"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4"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对地理信息安全的监督检查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197</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对测绘资质的监督检查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198</w:t>
            </w:r>
          </w:p>
        </w:tc>
        <w:tc>
          <w:tcPr>
            <w:tcW w:w="1135" w:type="dxa"/>
            <w:vAlign w:val="center"/>
          </w:tcPr>
          <w:p>
            <w:pPr>
              <w:widowControl/>
              <w:adjustRightInd w:val="0"/>
              <w:snapToGrid w:val="0"/>
              <w:spacing w:line="266"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66"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对测绘市场的监督检查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199</w:t>
            </w:r>
          </w:p>
        </w:tc>
        <w:tc>
          <w:tcPr>
            <w:tcW w:w="1135" w:type="dxa"/>
            <w:vAlign w:val="center"/>
          </w:tcPr>
          <w:p>
            <w:pPr>
              <w:widowControl/>
              <w:adjustRightInd w:val="0"/>
              <w:snapToGrid w:val="0"/>
              <w:spacing w:line="266"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66"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对测绘项目招、投标的监督检查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200</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行政检查</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对基础测绘成果使用情况的监督检查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restart"/>
            <w:vAlign w:val="center"/>
          </w:tcPr>
          <w:p>
            <w:pPr>
              <w:adjustRightInd w:val="0"/>
              <w:snapToGrid w:val="0"/>
              <w:spacing w:line="300" w:lineRule="exact"/>
              <w:jc w:val="center"/>
              <w:rPr>
                <w:rFonts w:hint="eastAsia" w:eastAsia="仿宋_GB2312"/>
                <w:color w:val="000000" w:themeColor="text1"/>
                <w:kern w:val="0"/>
                <w:sz w:val="24"/>
              </w:rPr>
            </w:pPr>
            <w:r>
              <w:rPr>
                <w:rFonts w:hint="eastAsia" w:eastAsia="仿宋_GB2312"/>
                <w:color w:val="000000" w:themeColor="text1"/>
                <w:kern w:val="0"/>
                <w:sz w:val="24"/>
              </w:rPr>
              <w:t>201</w:t>
            </w:r>
          </w:p>
        </w:tc>
        <w:tc>
          <w:tcPr>
            <w:tcW w:w="1135" w:type="dxa"/>
            <w:vMerge w:val="restart"/>
            <w:vAlign w:val="center"/>
          </w:tcPr>
          <w:p>
            <w:pPr>
              <w:adjustRightInd w:val="0"/>
              <w:snapToGrid w:val="0"/>
              <w:spacing w:line="280" w:lineRule="exact"/>
              <w:jc w:val="center"/>
              <w:rPr>
                <w:rFonts w:hint="eastAsia" w:eastAsia="仿宋_GB2312" w:cs="宋体"/>
                <w:snapToGrid w:val="0"/>
                <w:color w:val="000000"/>
                <w:sz w:val="20"/>
                <w:szCs w:val="20"/>
              </w:rPr>
            </w:pPr>
            <w:r>
              <w:rPr>
                <w:rFonts w:hint="eastAsia" w:eastAsia="仿宋_GB2312" w:cs="宋体"/>
                <w:snapToGrid w:val="0"/>
                <w:color w:val="000000"/>
                <w:sz w:val="20"/>
                <w:szCs w:val="20"/>
              </w:rPr>
              <w:t>行政确认</w:t>
            </w:r>
          </w:p>
        </w:tc>
        <w:tc>
          <w:tcPr>
            <w:tcW w:w="4490" w:type="dxa"/>
            <w:vMerge w:val="restart"/>
            <w:vAlign w:val="center"/>
          </w:tcPr>
          <w:p>
            <w:pPr>
              <w:adjustRightInd w:val="0"/>
              <w:snapToGrid w:val="0"/>
              <w:spacing w:line="280" w:lineRule="exact"/>
              <w:jc w:val="center"/>
              <w:rPr>
                <w:rFonts w:hint="eastAsia" w:eastAsia="仿宋_GB2312" w:cs="宋体"/>
                <w:snapToGrid w:val="0"/>
                <w:color w:val="000000"/>
                <w:sz w:val="20"/>
                <w:szCs w:val="20"/>
              </w:rPr>
            </w:pPr>
            <w:r>
              <w:rPr>
                <w:rFonts w:hint="eastAsia" w:eastAsia="仿宋_GB2312" w:cs="宋体"/>
                <w:snapToGrid w:val="0"/>
                <w:color w:val="000000"/>
                <w:sz w:val="20"/>
                <w:szCs w:val="20"/>
              </w:rPr>
              <w:t>不动产登记</w:t>
            </w: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1.集体土地所有权登记</w:t>
            </w:r>
          </w:p>
        </w:tc>
        <w:tc>
          <w:tcPr>
            <w:tcW w:w="870" w:type="dxa"/>
            <w:vAlign w:val="center"/>
          </w:tcPr>
          <w:p>
            <w:pPr>
              <w:jc w:val="center"/>
              <w:rPr>
                <w:sz w:val="24"/>
              </w:rPr>
            </w:pPr>
          </w:p>
        </w:tc>
        <w:tc>
          <w:tcPr>
            <w:tcW w:w="2413" w:type="dxa"/>
            <w:vAlign w:val="center"/>
          </w:tcPr>
          <w:p>
            <w:pPr>
              <w:spacing w:line="240" w:lineRule="exact"/>
              <w:jc w:val="center"/>
              <w:rPr>
                <w:rFonts w:hint="eastAsia" w:eastAsia="仿宋_GB2312" w:cs="宋体"/>
                <w:snapToGrid w:val="0"/>
                <w:color w:val="000000"/>
                <w:sz w:val="20"/>
                <w:szCs w:val="20"/>
              </w:rP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2.建设用地使用权</w:t>
            </w: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3.房屋等建筑物、构筑物所有权登记</w:t>
            </w: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4.宅基地使用权</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5.地役权登记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6.预告登记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7.更正登记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8.异议登记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9.查封登记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10.抵押权登记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11.森林、林木所有权登记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12.国有林地使用权登记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13.国有农用地使用权登记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eastAsia="仿宋_GB2312"/>
                <w:color w:val="000000" w:themeColor="text1"/>
                <w:kern w:val="0"/>
                <w:sz w:val="24"/>
              </w:rPr>
            </w:pPr>
          </w:p>
        </w:tc>
        <w:tc>
          <w:tcPr>
            <w:tcW w:w="1135"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4490" w:type="dxa"/>
            <w:vMerge w:val="continue"/>
            <w:vAlign w:val="center"/>
          </w:tcPr>
          <w:p>
            <w:pPr>
              <w:widowControl/>
              <w:adjustRightInd w:val="0"/>
              <w:snapToGrid w:val="0"/>
              <w:spacing w:line="280" w:lineRule="exact"/>
              <w:jc w:val="center"/>
              <w:rPr>
                <w:rFonts w:eastAsia="仿宋_GB2312" w:cs="宋体"/>
                <w:snapToGrid w:val="0"/>
                <w:color w:val="000000"/>
                <w:sz w:val="20"/>
                <w:szCs w:val="20"/>
              </w:rPr>
            </w:pPr>
          </w:p>
        </w:tc>
        <w:tc>
          <w:tcPr>
            <w:tcW w:w="1299" w:type="dxa"/>
            <w:vAlign w:val="center"/>
          </w:tcPr>
          <w:p>
            <w:pPr>
              <w:spacing w:line="240" w:lineRule="exact"/>
              <w:jc w:val="center"/>
              <w:rPr>
                <w:rFonts w:ascii="宋体" w:hAnsi="宋体" w:cs="宋体"/>
                <w:color w:val="000000"/>
                <w:sz w:val="20"/>
                <w:szCs w:val="20"/>
              </w:rPr>
            </w:pPr>
            <w:r>
              <w:rPr>
                <w:rFonts w:hint="eastAsia"/>
                <w:color w:val="000000"/>
                <w:sz w:val="20"/>
                <w:szCs w:val="20"/>
              </w:rPr>
              <w:t>14.耕地、林地、草原等土地承包经营权登记</w:t>
            </w:r>
          </w:p>
        </w:tc>
        <w:tc>
          <w:tcPr>
            <w:tcW w:w="870" w:type="dxa"/>
            <w:vAlign w:val="center"/>
          </w:tcPr>
          <w:p>
            <w:pPr>
              <w:jc w:val="center"/>
              <w:rPr>
                <w:sz w:val="24"/>
              </w:rPr>
            </w:pPr>
          </w:p>
        </w:tc>
        <w:tc>
          <w:tcPr>
            <w:tcW w:w="2413" w:type="dxa"/>
            <w:vAlign w:val="center"/>
          </w:tcPr>
          <w:p>
            <w:pPr>
              <w:spacing w:line="240" w:lineRule="exact"/>
              <w:jc w:val="center"/>
            </w:pPr>
            <w:r>
              <w:rPr>
                <w:rFonts w:hint="eastAsia" w:eastAsia="仿宋_GB2312" w:cs="宋体"/>
                <w:snapToGrid w:val="0"/>
                <w:color w:val="000000"/>
                <w:sz w:val="20"/>
                <w:szCs w:val="20"/>
              </w:rPr>
              <w:t>富川瑶族自治县不动产登记服务中心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202</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行政确认</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地质灾害治理责任认定</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203</w:t>
            </w:r>
          </w:p>
        </w:tc>
        <w:tc>
          <w:tcPr>
            <w:tcW w:w="1135"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行政裁决</w:t>
            </w:r>
          </w:p>
        </w:tc>
        <w:tc>
          <w:tcPr>
            <w:tcW w:w="4490"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采矿权人对矿区范围争议的裁决</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富川瑶族自治县自然资源局地质矿管股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204</w:t>
            </w:r>
          </w:p>
        </w:tc>
        <w:tc>
          <w:tcPr>
            <w:tcW w:w="1135"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70" w:lineRule="exact"/>
              <w:jc w:val="center"/>
              <w:rPr>
                <w:rFonts w:eastAsia="仿宋_GB2312" w:cs="宋体"/>
                <w:snapToGrid w:val="0"/>
                <w:color w:val="000000"/>
                <w:sz w:val="20"/>
                <w:szCs w:val="20"/>
              </w:rPr>
            </w:pPr>
            <w:r>
              <w:rPr>
                <w:rFonts w:hint="eastAsia" w:eastAsia="仿宋_GB2312" w:cs="宋体"/>
                <w:snapToGrid w:val="0"/>
                <w:color w:val="000000"/>
                <w:sz w:val="20"/>
                <w:szCs w:val="20"/>
              </w:rPr>
              <w:t>矿山地质环境治理恢复工程验收</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205</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土地复垦验收确认</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206</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土地复垦方案审查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207</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农村集体经济组织收回土地使用权的审核</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富川瑶族自治县自然资源局开发利用股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208</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矿山地质环境保护与土地复垦方案审查</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209</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收回国有土地使用权</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富川瑶族自治县自然资源局土地收购储备中心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210</w:t>
            </w:r>
          </w:p>
        </w:tc>
        <w:tc>
          <w:tcPr>
            <w:tcW w:w="1135" w:type="dxa"/>
            <w:vAlign w:val="center"/>
          </w:tcPr>
          <w:p>
            <w:pPr>
              <w:widowControl/>
              <w:adjustRightInd w:val="0"/>
              <w:snapToGrid w:val="0"/>
              <w:spacing w:line="264"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64" w:lineRule="exact"/>
              <w:jc w:val="center"/>
              <w:rPr>
                <w:rFonts w:eastAsia="仿宋_GB2312" w:cs="宋体"/>
                <w:snapToGrid w:val="0"/>
                <w:color w:val="000000"/>
                <w:sz w:val="20"/>
                <w:szCs w:val="20"/>
              </w:rPr>
            </w:pPr>
            <w:r>
              <w:rPr>
                <w:rFonts w:hint="eastAsia" w:eastAsia="仿宋_GB2312" w:cs="宋体"/>
                <w:snapToGrid w:val="0"/>
                <w:color w:val="000000"/>
                <w:sz w:val="20"/>
                <w:szCs w:val="20"/>
              </w:rPr>
              <w:t>测绘项目备案</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富川瑶族自治县自然资源局自然资源调查监测及测绘地理信息股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211</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转让国有土地使用权申报价格审核和登记</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富川瑶族自治县自然资源局行政审批办公室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212</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地质灾害防治资质单位地质灾害治理工程项目备案</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富川瑶族自治县自然资源局生态修复股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adjustRightInd w:val="0"/>
              <w:snapToGrid w:val="0"/>
              <w:spacing w:line="300" w:lineRule="exact"/>
              <w:jc w:val="center"/>
              <w:rPr>
                <w:rFonts w:eastAsia="仿宋_GB2312"/>
                <w:color w:val="000000" w:themeColor="text1"/>
                <w:kern w:val="0"/>
                <w:sz w:val="24"/>
              </w:rPr>
            </w:pPr>
            <w:r>
              <w:rPr>
                <w:rFonts w:hint="eastAsia" w:eastAsia="仿宋_GB2312"/>
                <w:color w:val="000000" w:themeColor="text1"/>
                <w:kern w:val="0"/>
                <w:sz w:val="24"/>
              </w:rPr>
              <w:t>213</w:t>
            </w:r>
          </w:p>
        </w:tc>
        <w:tc>
          <w:tcPr>
            <w:tcW w:w="1135"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其他行政权力</w:t>
            </w:r>
          </w:p>
        </w:tc>
        <w:tc>
          <w:tcPr>
            <w:tcW w:w="4490" w:type="dxa"/>
            <w:vAlign w:val="center"/>
          </w:tcPr>
          <w:p>
            <w:pPr>
              <w:widowControl/>
              <w:adjustRightInd w:val="0"/>
              <w:snapToGrid w:val="0"/>
              <w:spacing w:line="299" w:lineRule="exact"/>
              <w:jc w:val="center"/>
              <w:rPr>
                <w:rFonts w:eastAsia="仿宋_GB2312" w:cs="宋体"/>
                <w:snapToGrid w:val="0"/>
                <w:color w:val="000000"/>
                <w:sz w:val="20"/>
                <w:szCs w:val="20"/>
              </w:rPr>
            </w:pPr>
            <w:r>
              <w:rPr>
                <w:rFonts w:hint="eastAsia" w:eastAsia="仿宋_GB2312" w:cs="宋体"/>
                <w:snapToGrid w:val="0"/>
                <w:color w:val="000000"/>
                <w:sz w:val="20"/>
                <w:szCs w:val="20"/>
              </w:rPr>
              <w:t>无偿收回闲置的非农建设占用耕地的审批</w:t>
            </w:r>
          </w:p>
        </w:tc>
        <w:tc>
          <w:tcPr>
            <w:tcW w:w="1299" w:type="dxa"/>
            <w:vAlign w:val="center"/>
          </w:tcPr>
          <w:p>
            <w:pPr>
              <w:jc w:val="center"/>
              <w:rPr>
                <w:sz w:val="24"/>
              </w:rPr>
            </w:pPr>
          </w:p>
        </w:tc>
        <w:tc>
          <w:tcPr>
            <w:tcW w:w="870" w:type="dxa"/>
            <w:vAlign w:val="center"/>
          </w:tcPr>
          <w:p>
            <w:pPr>
              <w:jc w:val="center"/>
              <w:rPr>
                <w:sz w:val="24"/>
              </w:rPr>
            </w:pPr>
          </w:p>
        </w:tc>
        <w:tc>
          <w:tcPr>
            <w:tcW w:w="2413" w:type="dxa"/>
            <w:vAlign w:val="center"/>
          </w:tcPr>
          <w:p>
            <w:pPr>
              <w:spacing w:line="240" w:lineRule="exact"/>
              <w:jc w:val="center"/>
              <w:rPr>
                <w:rFonts w:eastAsia="仿宋_GB2312" w:cs="宋体"/>
                <w:snapToGrid w:val="0"/>
                <w:color w:val="000000"/>
                <w:sz w:val="20"/>
                <w:szCs w:val="20"/>
              </w:rPr>
            </w:pPr>
            <w:r>
              <w:rPr>
                <w:rFonts w:hint="eastAsia" w:eastAsia="仿宋_GB2312" w:cs="宋体"/>
                <w:snapToGrid w:val="0"/>
                <w:color w:val="000000"/>
                <w:sz w:val="20"/>
                <w:szCs w:val="20"/>
              </w:rPr>
              <w:t>富川瑶族自治县自然资源局开发利用股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restart"/>
            <w:vAlign w:val="center"/>
          </w:tcPr>
          <w:p>
            <w:pPr>
              <w:adjustRightInd w:val="0"/>
              <w:snapToGrid w:val="0"/>
              <w:spacing w:line="300" w:lineRule="exact"/>
              <w:jc w:val="center"/>
              <w:rPr>
                <w:rFonts w:hint="eastAsia" w:eastAsia="仿宋_GB2312"/>
                <w:color w:val="000000" w:themeColor="text1"/>
                <w:kern w:val="0"/>
                <w:sz w:val="24"/>
                <w:lang w:val="en-US" w:eastAsia="zh-CN"/>
              </w:rPr>
            </w:pPr>
            <w:r>
              <w:rPr>
                <w:rFonts w:hint="eastAsia" w:eastAsia="仿宋_GB2312"/>
                <w:color w:val="000000" w:themeColor="text1"/>
                <w:kern w:val="0"/>
                <w:sz w:val="24"/>
                <w:lang w:val="en-US" w:eastAsia="zh-CN"/>
              </w:rPr>
              <w:t>214</w:t>
            </w:r>
          </w:p>
          <w:p>
            <w:pPr>
              <w:adjustRightInd w:val="0"/>
              <w:snapToGrid w:val="0"/>
              <w:spacing w:line="300" w:lineRule="exact"/>
              <w:jc w:val="center"/>
              <w:rPr>
                <w:rFonts w:hint="default" w:eastAsia="仿宋_GB2312"/>
                <w:color w:val="000000" w:themeColor="text1"/>
                <w:kern w:val="0"/>
                <w:sz w:val="24"/>
                <w:lang w:val="en-US" w:eastAsia="zh-CN"/>
              </w:rPr>
            </w:pPr>
          </w:p>
          <w:p>
            <w:pPr>
              <w:adjustRightInd w:val="0"/>
              <w:snapToGrid w:val="0"/>
              <w:spacing w:line="300" w:lineRule="exact"/>
              <w:jc w:val="center"/>
              <w:rPr>
                <w:rFonts w:hint="default" w:eastAsia="仿宋_GB2312"/>
                <w:color w:val="000000" w:themeColor="text1"/>
                <w:kern w:val="0"/>
                <w:sz w:val="24"/>
                <w:lang w:val="en-US" w:eastAsia="zh-CN"/>
              </w:rPr>
            </w:pPr>
          </w:p>
        </w:tc>
        <w:tc>
          <w:tcPr>
            <w:tcW w:w="1135" w:type="dxa"/>
            <w:vMerge w:val="restart"/>
            <w:vAlign w:val="center"/>
          </w:tcPr>
          <w:p>
            <w:pPr>
              <w:widowControl/>
              <w:adjustRightInd w:val="0"/>
              <w:snapToGrid w:val="0"/>
              <w:spacing w:line="299" w:lineRule="exact"/>
              <w:jc w:val="center"/>
              <w:rPr>
                <w:rFonts w:hint="eastAsia" w:eastAsia="仿宋_GB2312" w:cs="宋体"/>
                <w:snapToGrid w:val="0"/>
                <w:color w:val="000000"/>
                <w:sz w:val="20"/>
                <w:szCs w:val="20"/>
                <w:lang w:val="en-US" w:eastAsia="zh-CN"/>
              </w:rPr>
            </w:pPr>
            <w:r>
              <w:rPr>
                <w:rFonts w:hint="eastAsia" w:eastAsia="仿宋_GB2312" w:cs="宋体"/>
                <w:snapToGrid w:val="0"/>
                <w:color w:val="000000"/>
                <w:sz w:val="20"/>
                <w:szCs w:val="20"/>
                <w:lang w:val="en-US" w:eastAsia="zh-CN"/>
              </w:rPr>
              <w:t>其他行政权力</w:t>
            </w:r>
          </w:p>
          <w:p>
            <w:pPr>
              <w:widowControl/>
              <w:adjustRightInd w:val="0"/>
              <w:snapToGrid w:val="0"/>
              <w:spacing w:line="299" w:lineRule="exact"/>
              <w:jc w:val="center"/>
              <w:rPr>
                <w:rFonts w:hint="eastAsia" w:eastAsia="仿宋_GB2312" w:cs="宋体"/>
                <w:snapToGrid w:val="0"/>
                <w:color w:val="000000"/>
                <w:sz w:val="20"/>
                <w:szCs w:val="20"/>
                <w:lang w:val="en-US" w:eastAsia="zh-CN"/>
              </w:rPr>
            </w:pPr>
          </w:p>
        </w:tc>
        <w:tc>
          <w:tcPr>
            <w:tcW w:w="4490" w:type="dxa"/>
            <w:vMerge w:val="restart"/>
            <w:vAlign w:val="center"/>
          </w:tcPr>
          <w:p>
            <w:pPr>
              <w:widowControl/>
              <w:adjustRightInd w:val="0"/>
              <w:snapToGrid w:val="0"/>
              <w:spacing w:line="299" w:lineRule="exact"/>
              <w:jc w:val="center"/>
              <w:rPr>
                <w:rFonts w:hint="eastAsia" w:eastAsia="仿宋_GB2312" w:cs="宋体"/>
                <w:snapToGrid w:val="0"/>
                <w:color w:val="000000"/>
                <w:sz w:val="20"/>
                <w:szCs w:val="20"/>
                <w:lang w:eastAsia="zh-CN"/>
              </w:rPr>
            </w:pPr>
            <w:r>
              <w:rPr>
                <w:rFonts w:hint="eastAsia" w:eastAsia="仿宋_GB2312" w:cs="宋体"/>
                <w:snapToGrid w:val="0"/>
                <w:color w:val="000000"/>
                <w:sz w:val="20"/>
                <w:szCs w:val="20"/>
                <w:lang w:eastAsia="zh-CN"/>
              </w:rPr>
              <w:t>县内单位之间土地山林权属纠纷调解处理</w:t>
            </w:r>
          </w:p>
        </w:tc>
        <w:tc>
          <w:tcPr>
            <w:tcW w:w="1299" w:type="dxa"/>
            <w:vAlign w:val="center"/>
          </w:tcPr>
          <w:p>
            <w:pPr>
              <w:jc w:val="both"/>
              <w:rPr>
                <w:rFonts w:hint="eastAsia" w:eastAsia="宋体"/>
                <w:sz w:val="20"/>
                <w:szCs w:val="20"/>
                <w:lang w:eastAsia="zh-CN"/>
              </w:rPr>
            </w:pPr>
            <w:r>
              <w:rPr>
                <w:rFonts w:hint="eastAsia"/>
                <w:sz w:val="20"/>
                <w:szCs w:val="20"/>
                <w:lang w:val="en-US" w:eastAsia="zh-CN"/>
              </w:rPr>
              <w:t>1.</w:t>
            </w:r>
            <w:r>
              <w:rPr>
                <w:rFonts w:hint="eastAsia"/>
                <w:sz w:val="20"/>
                <w:szCs w:val="20"/>
                <w:lang w:eastAsia="zh-CN"/>
              </w:rPr>
              <w:t>调查核实</w:t>
            </w:r>
          </w:p>
        </w:tc>
        <w:tc>
          <w:tcPr>
            <w:tcW w:w="870" w:type="dxa"/>
            <w:vAlign w:val="center"/>
          </w:tcPr>
          <w:p>
            <w:pPr>
              <w:jc w:val="center"/>
              <w:rPr>
                <w:sz w:val="24"/>
              </w:rPr>
            </w:pPr>
          </w:p>
        </w:tc>
        <w:tc>
          <w:tcPr>
            <w:tcW w:w="2413" w:type="dxa"/>
            <w:vAlign w:val="center"/>
          </w:tcPr>
          <w:p>
            <w:pPr>
              <w:spacing w:line="240" w:lineRule="exact"/>
              <w:jc w:val="both"/>
              <w:rPr>
                <w:rFonts w:hint="default" w:eastAsia="仿宋_GB2312" w:cs="宋体"/>
                <w:snapToGrid w:val="0"/>
                <w:color w:val="000000"/>
                <w:sz w:val="20"/>
                <w:szCs w:val="20"/>
                <w:lang w:val="en-US" w:eastAsia="zh-CN"/>
              </w:rPr>
            </w:pPr>
            <w:r>
              <w:rPr>
                <w:rFonts w:hint="eastAsia" w:eastAsia="仿宋_GB2312" w:cs="宋体"/>
                <w:snapToGrid w:val="0"/>
                <w:color w:val="000000"/>
                <w:sz w:val="20"/>
                <w:szCs w:val="20"/>
                <w:lang w:val="en-US" w:eastAsia="zh-CN"/>
              </w:rPr>
              <w:t>富川瑶族自治县自然资源局政策法规股（信访室）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hint="default" w:eastAsia="仿宋_GB2312"/>
                <w:color w:val="000000" w:themeColor="text1"/>
                <w:kern w:val="0"/>
                <w:sz w:val="24"/>
                <w:lang w:val="en-US" w:eastAsia="zh-CN"/>
              </w:rPr>
            </w:pPr>
          </w:p>
        </w:tc>
        <w:tc>
          <w:tcPr>
            <w:tcW w:w="1135" w:type="dxa"/>
            <w:vMerge w:val="continue"/>
            <w:vAlign w:val="center"/>
          </w:tcPr>
          <w:p>
            <w:pPr>
              <w:widowControl/>
              <w:adjustRightInd w:val="0"/>
              <w:snapToGrid w:val="0"/>
              <w:spacing w:line="299" w:lineRule="exact"/>
              <w:jc w:val="center"/>
              <w:rPr>
                <w:rFonts w:hint="eastAsia" w:eastAsia="仿宋_GB2312" w:cs="宋体"/>
                <w:snapToGrid w:val="0"/>
                <w:color w:val="000000"/>
                <w:sz w:val="20"/>
                <w:szCs w:val="20"/>
                <w:lang w:val="en-US" w:eastAsia="zh-CN"/>
              </w:rPr>
            </w:pPr>
          </w:p>
        </w:tc>
        <w:tc>
          <w:tcPr>
            <w:tcW w:w="4490" w:type="dxa"/>
            <w:vMerge w:val="continue"/>
            <w:vAlign w:val="center"/>
          </w:tcPr>
          <w:p>
            <w:pPr>
              <w:widowControl/>
              <w:adjustRightInd w:val="0"/>
              <w:snapToGrid w:val="0"/>
              <w:spacing w:line="299" w:lineRule="exact"/>
              <w:jc w:val="center"/>
              <w:rPr>
                <w:rFonts w:hint="eastAsia" w:eastAsia="仿宋_GB2312" w:cs="宋体"/>
                <w:snapToGrid w:val="0"/>
                <w:color w:val="000000"/>
                <w:sz w:val="20"/>
                <w:szCs w:val="20"/>
                <w:lang w:eastAsia="zh-CN"/>
              </w:rPr>
            </w:pPr>
          </w:p>
        </w:tc>
        <w:tc>
          <w:tcPr>
            <w:tcW w:w="1299" w:type="dxa"/>
            <w:vAlign w:val="center"/>
          </w:tcPr>
          <w:p>
            <w:pPr>
              <w:jc w:val="both"/>
              <w:rPr>
                <w:rFonts w:hint="eastAsia" w:eastAsia="宋体"/>
                <w:sz w:val="20"/>
                <w:szCs w:val="20"/>
                <w:lang w:eastAsia="zh-CN"/>
              </w:rPr>
            </w:pPr>
            <w:r>
              <w:rPr>
                <w:rFonts w:hint="eastAsia"/>
                <w:sz w:val="20"/>
                <w:szCs w:val="20"/>
                <w:lang w:val="en-US" w:eastAsia="zh-CN"/>
              </w:rPr>
              <w:t>2.</w:t>
            </w:r>
            <w:r>
              <w:rPr>
                <w:rFonts w:hint="eastAsia"/>
                <w:sz w:val="20"/>
                <w:szCs w:val="20"/>
                <w:lang w:eastAsia="zh-CN"/>
              </w:rPr>
              <w:t>调解</w:t>
            </w:r>
          </w:p>
        </w:tc>
        <w:tc>
          <w:tcPr>
            <w:tcW w:w="870" w:type="dxa"/>
            <w:vAlign w:val="center"/>
          </w:tcPr>
          <w:p>
            <w:pPr>
              <w:jc w:val="center"/>
              <w:rPr>
                <w:sz w:val="24"/>
              </w:rPr>
            </w:pPr>
          </w:p>
        </w:tc>
        <w:tc>
          <w:tcPr>
            <w:tcW w:w="2413" w:type="dxa"/>
            <w:vAlign w:val="center"/>
          </w:tcPr>
          <w:p>
            <w:pPr>
              <w:spacing w:line="240" w:lineRule="exact"/>
              <w:jc w:val="center"/>
              <w:rPr>
                <w:rFonts w:hint="eastAsia" w:eastAsia="仿宋_GB2312" w:cs="宋体"/>
                <w:snapToGrid w:val="0"/>
                <w:color w:val="000000"/>
                <w:sz w:val="20"/>
                <w:szCs w:val="20"/>
              </w:rPr>
            </w:pPr>
            <w:r>
              <w:rPr>
                <w:rFonts w:hint="eastAsia" w:eastAsia="仿宋_GB2312" w:cs="宋体"/>
                <w:snapToGrid w:val="0"/>
                <w:color w:val="000000"/>
                <w:sz w:val="20"/>
                <w:szCs w:val="20"/>
                <w:lang w:val="en-US" w:eastAsia="zh-CN"/>
              </w:rPr>
              <w:t>富川瑶族自治县自然资源局政策法规股（信访室）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adjustRightInd w:val="0"/>
              <w:snapToGrid w:val="0"/>
              <w:spacing w:line="300" w:lineRule="exact"/>
              <w:jc w:val="center"/>
              <w:rPr>
                <w:rFonts w:hint="default" w:eastAsia="仿宋_GB2312"/>
                <w:color w:val="000000" w:themeColor="text1"/>
                <w:kern w:val="0"/>
                <w:sz w:val="24"/>
                <w:lang w:val="en-US" w:eastAsia="zh-CN"/>
              </w:rPr>
            </w:pPr>
          </w:p>
        </w:tc>
        <w:tc>
          <w:tcPr>
            <w:tcW w:w="1135" w:type="dxa"/>
            <w:vMerge w:val="continue"/>
            <w:vAlign w:val="center"/>
          </w:tcPr>
          <w:p>
            <w:pPr>
              <w:widowControl/>
              <w:adjustRightInd w:val="0"/>
              <w:snapToGrid w:val="0"/>
              <w:spacing w:line="299" w:lineRule="exact"/>
              <w:jc w:val="center"/>
              <w:rPr>
                <w:rFonts w:hint="eastAsia" w:eastAsia="仿宋_GB2312" w:cs="宋体"/>
                <w:snapToGrid w:val="0"/>
                <w:color w:val="000000"/>
                <w:sz w:val="20"/>
                <w:szCs w:val="20"/>
                <w:lang w:val="en-US" w:eastAsia="zh-CN"/>
              </w:rPr>
            </w:pPr>
          </w:p>
        </w:tc>
        <w:tc>
          <w:tcPr>
            <w:tcW w:w="4490" w:type="dxa"/>
            <w:vMerge w:val="continue"/>
            <w:vAlign w:val="center"/>
          </w:tcPr>
          <w:p>
            <w:pPr>
              <w:widowControl/>
              <w:adjustRightInd w:val="0"/>
              <w:snapToGrid w:val="0"/>
              <w:spacing w:line="299" w:lineRule="exact"/>
              <w:jc w:val="center"/>
              <w:rPr>
                <w:rFonts w:hint="eastAsia" w:eastAsia="仿宋_GB2312" w:cs="宋体"/>
                <w:snapToGrid w:val="0"/>
                <w:color w:val="000000"/>
                <w:sz w:val="20"/>
                <w:szCs w:val="20"/>
                <w:lang w:eastAsia="zh-CN"/>
              </w:rPr>
            </w:pPr>
          </w:p>
        </w:tc>
        <w:tc>
          <w:tcPr>
            <w:tcW w:w="1299" w:type="dxa"/>
            <w:vAlign w:val="center"/>
          </w:tcPr>
          <w:p>
            <w:pPr>
              <w:ind w:left="200" w:hanging="200" w:hangingChars="100"/>
              <w:jc w:val="both"/>
              <w:rPr>
                <w:rFonts w:hint="eastAsia" w:eastAsia="宋体"/>
                <w:sz w:val="20"/>
                <w:szCs w:val="20"/>
                <w:lang w:eastAsia="zh-CN"/>
              </w:rPr>
            </w:pPr>
            <w:r>
              <w:rPr>
                <w:rFonts w:hint="eastAsia"/>
                <w:sz w:val="20"/>
                <w:szCs w:val="20"/>
                <w:lang w:val="en-US" w:eastAsia="zh-CN"/>
              </w:rPr>
              <w:t>3.提出确权</w:t>
            </w:r>
            <w:r>
              <w:rPr>
                <w:rFonts w:hint="eastAsia"/>
                <w:sz w:val="20"/>
                <w:szCs w:val="20"/>
                <w:lang w:eastAsia="zh-CN"/>
              </w:rPr>
              <w:t>建议</w:t>
            </w:r>
          </w:p>
        </w:tc>
        <w:tc>
          <w:tcPr>
            <w:tcW w:w="870" w:type="dxa"/>
            <w:vAlign w:val="center"/>
          </w:tcPr>
          <w:p>
            <w:pPr>
              <w:jc w:val="center"/>
              <w:rPr>
                <w:sz w:val="24"/>
              </w:rPr>
            </w:pPr>
          </w:p>
        </w:tc>
        <w:tc>
          <w:tcPr>
            <w:tcW w:w="2413" w:type="dxa"/>
            <w:vAlign w:val="center"/>
          </w:tcPr>
          <w:p>
            <w:pPr>
              <w:spacing w:line="240" w:lineRule="exact"/>
              <w:jc w:val="center"/>
              <w:rPr>
                <w:rFonts w:hint="eastAsia" w:eastAsia="仿宋_GB2312" w:cs="宋体"/>
                <w:snapToGrid w:val="0"/>
                <w:color w:val="000000"/>
                <w:sz w:val="20"/>
                <w:szCs w:val="20"/>
              </w:rPr>
            </w:pPr>
            <w:r>
              <w:rPr>
                <w:rFonts w:hint="eastAsia" w:eastAsia="仿宋_GB2312" w:cs="宋体"/>
                <w:snapToGrid w:val="0"/>
                <w:color w:val="000000"/>
                <w:sz w:val="20"/>
                <w:szCs w:val="20"/>
                <w:lang w:val="en-US" w:eastAsia="zh-CN"/>
              </w:rPr>
              <w:t>富川瑶族自治县自然资源局政策法规股（信访室）</w:t>
            </w:r>
          </w:p>
        </w:tc>
      </w:tr>
    </w:tbl>
    <w:p>
      <w:pPr>
        <w:spacing w:line="240" w:lineRule="exact"/>
      </w:pPr>
      <w:bookmarkStart w:id="0" w:name="_GoBack"/>
      <w:bookmarkEnd w:id="0"/>
    </w:p>
    <w:sectPr>
      <w:footerReference r:id="rId3" w:type="default"/>
      <w:pgSz w:w="11906" w:h="16838"/>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3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598"/>
    <w:rsid w:val="001D2B07"/>
    <w:rsid w:val="001F6695"/>
    <w:rsid w:val="00261FAC"/>
    <w:rsid w:val="002911AF"/>
    <w:rsid w:val="003519E4"/>
    <w:rsid w:val="00381DFD"/>
    <w:rsid w:val="00393A29"/>
    <w:rsid w:val="004141DA"/>
    <w:rsid w:val="00416FAD"/>
    <w:rsid w:val="00491F77"/>
    <w:rsid w:val="004C3D97"/>
    <w:rsid w:val="004D5C08"/>
    <w:rsid w:val="004F5D4D"/>
    <w:rsid w:val="00531FCE"/>
    <w:rsid w:val="0053671C"/>
    <w:rsid w:val="005956EA"/>
    <w:rsid w:val="005A771C"/>
    <w:rsid w:val="005F4A3A"/>
    <w:rsid w:val="00600B03"/>
    <w:rsid w:val="006439E2"/>
    <w:rsid w:val="006847C7"/>
    <w:rsid w:val="00694E9D"/>
    <w:rsid w:val="006E7414"/>
    <w:rsid w:val="00725DDB"/>
    <w:rsid w:val="007461BC"/>
    <w:rsid w:val="00790E9F"/>
    <w:rsid w:val="007E5D25"/>
    <w:rsid w:val="00886CA8"/>
    <w:rsid w:val="008B5598"/>
    <w:rsid w:val="008B7550"/>
    <w:rsid w:val="0098479B"/>
    <w:rsid w:val="009876AF"/>
    <w:rsid w:val="009D7C05"/>
    <w:rsid w:val="00A22970"/>
    <w:rsid w:val="00A514E7"/>
    <w:rsid w:val="00A8105F"/>
    <w:rsid w:val="00AB0EEE"/>
    <w:rsid w:val="00B32C38"/>
    <w:rsid w:val="00B74FED"/>
    <w:rsid w:val="00BA3F0D"/>
    <w:rsid w:val="00C02349"/>
    <w:rsid w:val="00C03AEB"/>
    <w:rsid w:val="00C2210A"/>
    <w:rsid w:val="00C66C25"/>
    <w:rsid w:val="00C71AA0"/>
    <w:rsid w:val="00C725ED"/>
    <w:rsid w:val="00C7703C"/>
    <w:rsid w:val="00C87E09"/>
    <w:rsid w:val="00CE4FE8"/>
    <w:rsid w:val="00D20115"/>
    <w:rsid w:val="00D34A0A"/>
    <w:rsid w:val="00D42A8B"/>
    <w:rsid w:val="00D578FF"/>
    <w:rsid w:val="00D6793F"/>
    <w:rsid w:val="00D902FC"/>
    <w:rsid w:val="00DD321F"/>
    <w:rsid w:val="00DE109C"/>
    <w:rsid w:val="00E57465"/>
    <w:rsid w:val="00E70472"/>
    <w:rsid w:val="00EB6DB3"/>
    <w:rsid w:val="00ED5F66"/>
    <w:rsid w:val="00F91385"/>
    <w:rsid w:val="00FD0905"/>
    <w:rsid w:val="00FD4AEC"/>
    <w:rsid w:val="503B4CDA"/>
    <w:rsid w:val="5AD0358E"/>
    <w:rsid w:val="61B3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5E24-7667-402D-B09F-9F4AECFD3A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2094</Words>
  <Characters>11939</Characters>
  <Lines>99</Lines>
  <Paragraphs>28</Paragraphs>
  <TotalTime>2</TotalTime>
  <ScaleCrop>false</ScaleCrop>
  <LinksUpToDate>false</LinksUpToDate>
  <CharactersWithSpaces>14005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2022-09-27T23:40:00Z</dcterms:created>
  <dc:creator>Asus</dc:creator>
  <cp:lastModifiedBy>Administrator</cp:lastModifiedBy>
  <cp:lastPrinted>2022-10-25T03:18:00Z</cp:lastPrinted>
  <dcterms:modified xsi:type="dcterms:W3CDTF">2023-08-29T03:38:44Z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6426211CCD384768BEDAA56CC34747E5</vt:lpwstr>
  </property>
</Properties>
</file>