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w:t>
      </w:r>
      <w:r>
        <w:rPr>
          <w:rFonts w:hint="eastAsia" w:ascii="仿宋_GB2312" w:hAnsi="仿宋_GB2312" w:eastAsia="仿宋_GB2312" w:cs="仿宋_GB2312"/>
          <w:b w:val="0"/>
          <w:bCs w:val="0"/>
          <w:color w:val="auto"/>
          <w:sz w:val="32"/>
          <w:szCs w:val="32"/>
          <w:lang w:val="en-US" w:eastAsia="zh-CN"/>
        </w:rPr>
        <w:t>1</w:t>
      </w:r>
    </w:p>
    <w:p>
      <w:pPr>
        <w:pageBreakBefore w:val="0"/>
        <w:kinsoku/>
        <w:wordWrap/>
        <w:overflowPunct/>
        <w:topLinePunct w:val="0"/>
        <w:bidi w:val="0"/>
        <w:spacing w:line="560" w:lineRule="exact"/>
        <w:jc w:val="center"/>
        <w:rPr>
          <w:rFonts w:hint="default" w:ascii="Times New Roman" w:hAnsi="Times New Roman" w:eastAsia="方正小标宋_GBK" w:cs="Times New Roman"/>
          <w:b w:val="0"/>
          <w:bCs w:val="0"/>
          <w:color w:val="auto"/>
          <w:kern w:val="2"/>
          <w:sz w:val="44"/>
          <w:szCs w:val="44"/>
          <w:lang w:val="en-US" w:eastAsia="zh-CN" w:bidi="ar-SA"/>
        </w:rPr>
      </w:pPr>
      <w:r>
        <w:rPr>
          <w:rFonts w:hint="default" w:ascii="Times New Roman" w:hAnsi="Times New Roman" w:eastAsia="方正小标宋_GBK" w:cs="Times New Roman"/>
          <w:b w:val="0"/>
          <w:bCs w:val="0"/>
          <w:color w:val="auto"/>
          <w:kern w:val="2"/>
          <w:sz w:val="44"/>
          <w:szCs w:val="44"/>
          <w:lang w:val="en-US" w:eastAsia="zh-CN" w:bidi="ar-SA"/>
        </w:rPr>
        <w:t>安全生产重大事故隐患清单表</w:t>
      </w:r>
    </w:p>
    <w:p>
      <w:pPr>
        <w:pStyle w:val="11"/>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填报单位：                                                    填报时间：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81"/>
        <w:gridCol w:w="1905"/>
        <w:gridCol w:w="1320"/>
        <w:gridCol w:w="1665"/>
        <w:gridCol w:w="870"/>
        <w:gridCol w:w="1095"/>
        <w:gridCol w:w="751"/>
        <w:gridCol w:w="923"/>
        <w:gridCol w:w="1236"/>
        <w:gridCol w:w="795"/>
        <w:gridCol w:w="90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序号</w:t>
            </w:r>
          </w:p>
        </w:tc>
        <w:tc>
          <w:tcPr>
            <w:tcW w:w="1181"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行业领域</w:t>
            </w:r>
          </w:p>
        </w:tc>
        <w:tc>
          <w:tcPr>
            <w:tcW w:w="1905"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重大隐患单位</w:t>
            </w:r>
          </w:p>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及重大隐患情况</w:t>
            </w:r>
          </w:p>
        </w:tc>
        <w:tc>
          <w:tcPr>
            <w:tcW w:w="1320"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涉及层面</w:t>
            </w:r>
          </w:p>
        </w:tc>
        <w:tc>
          <w:tcPr>
            <w:tcW w:w="1665"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整改措施</w:t>
            </w:r>
          </w:p>
        </w:tc>
        <w:tc>
          <w:tcPr>
            <w:tcW w:w="870"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检查日期</w:t>
            </w:r>
          </w:p>
        </w:tc>
        <w:tc>
          <w:tcPr>
            <w:tcW w:w="1095"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计划整改时限</w:t>
            </w:r>
          </w:p>
        </w:tc>
        <w:tc>
          <w:tcPr>
            <w:tcW w:w="751"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责任单位</w:t>
            </w:r>
          </w:p>
        </w:tc>
        <w:tc>
          <w:tcPr>
            <w:tcW w:w="923"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整改阶段</w:t>
            </w:r>
          </w:p>
        </w:tc>
        <w:tc>
          <w:tcPr>
            <w:tcW w:w="1236"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实际完成整改时间</w:t>
            </w:r>
          </w:p>
        </w:tc>
        <w:tc>
          <w:tcPr>
            <w:tcW w:w="795"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整改进展</w:t>
            </w:r>
          </w:p>
        </w:tc>
        <w:tc>
          <w:tcPr>
            <w:tcW w:w="900"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整改时间</w:t>
            </w:r>
          </w:p>
        </w:tc>
        <w:tc>
          <w:tcPr>
            <w:tcW w:w="761"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181"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cs="Times New Roman"/>
                <w:color w:val="auto"/>
                <w:lang w:val="en-US" w:eastAsia="zh-CN"/>
              </w:rPr>
            </w:pPr>
          </w:p>
          <w:p>
            <w:pPr>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1"/>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0"/>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190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320"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66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09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751"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cs="Times New Roman"/>
                <w:color w:val="auto"/>
                <w:lang w:val="en-US" w:eastAsia="zh-CN"/>
              </w:rPr>
            </w:pPr>
          </w:p>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923"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1236"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795"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900"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761"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181"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cs="Times New Roman"/>
                <w:color w:val="auto"/>
                <w:lang w:val="en-US" w:eastAsia="zh-CN"/>
              </w:rPr>
            </w:pPr>
          </w:p>
          <w:p>
            <w:pPr>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1"/>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0"/>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190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320"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66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09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751"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923"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1236"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795"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900"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761"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r>
    </w:tbl>
    <w:p>
      <w:pPr>
        <w:pStyle w:val="10"/>
        <w:pageBreakBefore w:val="0"/>
        <w:kinsoku/>
        <w:wordWrap/>
        <w:overflowPunct/>
        <w:topLinePunct w:val="0"/>
        <w:bidi w:val="0"/>
        <w:spacing w:line="560" w:lineRule="exact"/>
        <w:ind w:left="0" w:leftChars="0" w:firstLine="0" w:firstLineChars="0"/>
        <w:jc w:val="both"/>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 xml:space="preserve">  注：重大事故隐患清单表由企业、各部门、各乡镇在贺州市安全生</w:t>
      </w:r>
      <w:r>
        <w:rPr>
          <w:rFonts w:hint="eastAsia" w:ascii="Times New Roman" w:hAnsi="Times New Roman" w:eastAsia="仿宋_GB2312" w:cs="Times New Roman"/>
          <w:b w:val="0"/>
          <w:bCs w:val="0"/>
          <w:color w:val="auto"/>
          <w:kern w:val="2"/>
          <w:sz w:val="24"/>
          <w:szCs w:val="24"/>
          <w:vertAlign w:val="baseline"/>
          <w:lang w:val="en-US" w:eastAsia="zh-CN" w:bidi="ar-SA"/>
        </w:rPr>
        <w:t>产</w:t>
      </w:r>
      <w:r>
        <w:rPr>
          <w:rFonts w:hint="default" w:ascii="Times New Roman" w:hAnsi="Times New Roman" w:eastAsia="仿宋_GB2312" w:cs="Times New Roman"/>
          <w:b w:val="0"/>
          <w:bCs w:val="0"/>
          <w:color w:val="auto"/>
          <w:kern w:val="2"/>
          <w:sz w:val="24"/>
          <w:szCs w:val="24"/>
          <w:vertAlign w:val="baseline"/>
          <w:lang w:val="en-US" w:eastAsia="zh-CN" w:bidi="ar-SA"/>
        </w:rPr>
        <w:t>隐患排查数据库系统中报送。</w:t>
      </w:r>
    </w:p>
    <w:p>
      <w:pPr>
        <w:pStyle w:val="10"/>
        <w:pageBreakBefore w:val="0"/>
        <w:kinsoku/>
        <w:wordWrap/>
        <w:overflowPunct/>
        <w:topLinePunct w:val="0"/>
        <w:bidi w:val="0"/>
        <w:spacing w:line="560" w:lineRule="exact"/>
        <w:ind w:left="0" w:leftChars="0" w:firstLine="0" w:firstLineChars="0"/>
        <w:rPr>
          <w:rFonts w:hint="default" w:ascii="Times New Roman" w:hAnsi="Times New Roman" w:cs="Times New Roman"/>
          <w:color w:val="auto"/>
          <w:lang w:val="en-US" w:eastAsia="zh-CN"/>
        </w:rPr>
        <w:sectPr>
          <w:footerReference r:id="rId3" w:type="default"/>
          <w:pgSz w:w="16838" w:h="11906" w:orient="landscape"/>
          <w:pgMar w:top="1474" w:right="1440" w:bottom="1474" w:left="1440" w:header="851" w:footer="992" w:gutter="0"/>
          <w:pgNumType w:fmt="decimal"/>
          <w:cols w:space="720" w:num="1"/>
          <w:rtlGutter w:val="0"/>
          <w:docGrid w:type="lines" w:linePitch="312" w:charSpace="0"/>
        </w:sectPr>
      </w:pPr>
    </w:p>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2</w:t>
      </w:r>
    </w:p>
    <w:p>
      <w:pPr>
        <w:pageBreakBefore w:val="0"/>
        <w:kinsoku/>
        <w:wordWrap/>
        <w:overflowPunct/>
        <w:topLinePunct w:val="0"/>
        <w:bidi w:val="0"/>
        <w:spacing w:line="560"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黑体" w:cs="Times New Roman"/>
          <w:b/>
          <w:color w:val="auto"/>
          <w:sz w:val="44"/>
          <w:szCs w:val="44"/>
        </w:rPr>
        <w:t xml:space="preserve"> </w:t>
      </w:r>
      <w:r>
        <w:rPr>
          <w:rFonts w:hint="default" w:ascii="Times New Roman" w:hAnsi="Times New Roman" w:eastAsia="方正小标宋_GBK" w:cs="Times New Roman"/>
          <w:b w:val="0"/>
          <w:bCs w:val="0"/>
          <w:color w:val="auto"/>
          <w:sz w:val="44"/>
          <w:szCs w:val="44"/>
          <w:shd w:val="clear" w:color="auto" w:fill="FFFFFF"/>
        </w:rPr>
        <w:t>安全生产隐患排查数据库系统</w:t>
      </w:r>
      <w:r>
        <w:rPr>
          <w:rFonts w:hint="default" w:ascii="Times New Roman" w:hAnsi="Times New Roman" w:eastAsia="方正小标宋_GBK" w:cs="Times New Roman"/>
          <w:b w:val="0"/>
          <w:bCs w:val="0"/>
          <w:color w:val="auto"/>
          <w:sz w:val="44"/>
          <w:szCs w:val="44"/>
        </w:rPr>
        <w:t>使用说明</w:t>
      </w:r>
    </w:p>
    <w:p>
      <w:pPr>
        <w:pStyle w:val="4"/>
        <w:keepNext/>
        <w:keepLines/>
        <w:pageBreakBefore w:val="0"/>
        <w:widowControl w:val="0"/>
        <w:numPr>
          <w:ilvl w:val="0"/>
          <w:numId w:val="0"/>
        </w:numPr>
        <w:kinsoku/>
        <w:wordWrap/>
        <w:overflowPunct/>
        <w:topLinePunct w:val="0"/>
        <w:autoSpaceDE/>
        <w:autoSpaceDN/>
        <w:bidi w:val="0"/>
        <w:adjustRightInd/>
        <w:snapToGrid/>
        <w:spacing w:before="312" w:after="156" w:line="560" w:lineRule="exact"/>
        <w:ind w:leftChars="0"/>
        <w:textAlignment w:val="auto"/>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lang w:val="en-US" w:eastAsia="zh-CN"/>
        </w:rPr>
        <w:t xml:space="preserve">    </w:t>
      </w:r>
      <w:r>
        <w:rPr>
          <w:rFonts w:hint="default" w:ascii="Times New Roman" w:hAnsi="Times New Roman" w:eastAsia="黑体" w:cs="Times New Roman"/>
          <w:b w:val="0"/>
          <w:bCs w:val="0"/>
          <w:color w:val="auto"/>
          <w:sz w:val="24"/>
          <w:szCs w:val="24"/>
          <w:lang w:eastAsia="zh-CN"/>
        </w:rPr>
        <w:t>一、</w:t>
      </w:r>
      <w:r>
        <w:rPr>
          <w:rFonts w:hint="default" w:ascii="Times New Roman" w:hAnsi="Times New Roman" w:eastAsia="黑体" w:cs="Times New Roman"/>
          <w:b w:val="0"/>
          <w:bCs w:val="0"/>
          <w:color w:val="auto"/>
          <w:sz w:val="24"/>
          <w:szCs w:val="24"/>
        </w:rPr>
        <w:t>如何访问</w:t>
      </w:r>
    </w:p>
    <w:p>
      <w:pPr>
        <w:pStyle w:val="5"/>
        <w:keepNext/>
        <w:keepLines/>
        <w:pageBreakBefore w:val="0"/>
        <w:widowControl w:val="0"/>
        <w:kinsoku/>
        <w:wordWrap/>
        <w:overflowPunct/>
        <w:topLinePunct w:val="0"/>
        <w:autoSpaceDE/>
        <w:autoSpaceDN/>
        <w:bidi w:val="0"/>
        <w:adjustRightInd/>
        <w:snapToGrid/>
        <w:spacing w:before="156" w:after="156" w:line="560" w:lineRule="exact"/>
        <w:textAlignment w:val="auto"/>
        <w:rPr>
          <w:rFonts w:hint="default" w:ascii="Times New Roman" w:hAnsi="Times New Roman"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1</w:t>
      </w:r>
      <w:bookmarkStart w:id="0" w:name="OLE_LINK1"/>
      <w:r>
        <w:rPr>
          <w:rFonts w:hint="default" w:ascii="Times New Roman" w:hAnsi="Times New Roman" w:eastAsia="仿宋_GB2312" w:cs="Times New Roman"/>
          <w:b w:val="0"/>
          <w:bCs w:val="0"/>
          <w:color w:val="auto"/>
          <w:sz w:val="24"/>
          <w:szCs w:val="24"/>
        </w:rPr>
        <w:t>.1</w:t>
      </w: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安委办浏览器端</w:t>
      </w:r>
      <w:bookmarkEnd w:id="0"/>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网址：</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 HYPERLINK "http://www.gxxokj.com/Dw/Login.aspx" </w:instrText>
      </w:r>
      <w:r>
        <w:rPr>
          <w:rFonts w:hint="default" w:ascii="Times New Roman" w:hAnsi="Times New Roman" w:cs="Times New Roman"/>
          <w:b w:val="0"/>
          <w:bCs w:val="0"/>
          <w:color w:val="auto"/>
          <w:sz w:val="24"/>
          <w:szCs w:val="24"/>
        </w:rPr>
        <w:fldChar w:fldCharType="separate"/>
      </w:r>
      <w:r>
        <w:rPr>
          <w:rStyle w:val="9"/>
          <w:rFonts w:hint="default" w:ascii="Times New Roman" w:hAnsi="Times New Roman" w:cs="Times New Roman"/>
          <w:b w:val="0"/>
          <w:bCs w:val="0"/>
          <w:color w:val="auto"/>
          <w:sz w:val="24"/>
          <w:szCs w:val="24"/>
        </w:rPr>
        <w:t>http://www.gxxokj.com/Dw/Login.aspx</w:t>
      </w:r>
      <w:r>
        <w:rPr>
          <w:rFonts w:hint="default" w:ascii="Times New Roman" w:hAnsi="Times New Roman" w:cs="Times New Roman"/>
          <w:b w:val="0"/>
          <w:bCs w:val="0"/>
          <w:color w:val="auto"/>
          <w:sz w:val="24"/>
          <w:szCs w:val="24"/>
        </w:rPr>
        <w:fldChar w:fldCharType="end"/>
      </w:r>
    </w:p>
    <w:p>
      <w:pPr>
        <w:pStyle w:val="5"/>
        <w:keepNext/>
        <w:keepLines/>
        <w:pageBreakBefore w:val="0"/>
        <w:widowControl w:val="0"/>
        <w:kinsoku/>
        <w:wordWrap/>
        <w:overflowPunct/>
        <w:topLinePunct w:val="0"/>
        <w:autoSpaceDE/>
        <w:autoSpaceDN/>
        <w:bidi w:val="0"/>
        <w:adjustRightInd/>
        <w:snapToGrid/>
        <w:spacing w:before="156" w:after="156" w:line="560" w:lineRule="exact"/>
        <w:textAlignment w:val="auto"/>
        <w:rPr>
          <w:rFonts w:hint="default" w:ascii="Times New Roman" w:hAnsi="Times New Roman"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1.2</w:t>
      </w: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企业浏览器端</w:t>
      </w: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网址：</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 HYPERLINK "http://yhpc.yjj.gxhz.gov.cn/Qy/Login.aspx" </w:instrText>
      </w:r>
      <w:r>
        <w:rPr>
          <w:rFonts w:hint="default" w:ascii="Times New Roman" w:hAnsi="Times New Roman" w:cs="Times New Roman"/>
          <w:b w:val="0"/>
          <w:bCs w:val="0"/>
          <w:color w:val="auto"/>
          <w:sz w:val="24"/>
          <w:szCs w:val="24"/>
        </w:rPr>
        <w:fldChar w:fldCharType="separate"/>
      </w:r>
      <w:r>
        <w:rPr>
          <w:rStyle w:val="9"/>
          <w:rFonts w:hint="default" w:ascii="Times New Roman" w:hAnsi="Times New Roman" w:cs="Times New Roman"/>
          <w:b w:val="0"/>
          <w:bCs w:val="0"/>
          <w:color w:val="auto"/>
          <w:sz w:val="24"/>
          <w:szCs w:val="24"/>
        </w:rPr>
        <w:t>http://</w:t>
      </w:r>
      <w:r>
        <w:rPr>
          <w:rFonts w:hint="default" w:ascii="Times New Roman" w:hAnsi="Times New Roman" w:cs="Times New Roman"/>
          <w:b w:val="0"/>
          <w:bCs w:val="0"/>
          <w:color w:val="auto"/>
          <w:sz w:val="24"/>
          <w:szCs w:val="24"/>
        </w:rPr>
        <w:t xml:space="preserve"> </w:t>
      </w:r>
      <w:r>
        <w:rPr>
          <w:rStyle w:val="9"/>
          <w:rFonts w:hint="default" w:ascii="Times New Roman" w:hAnsi="Times New Roman" w:cs="Times New Roman"/>
          <w:b w:val="0"/>
          <w:bCs w:val="0"/>
          <w:color w:val="auto"/>
          <w:sz w:val="24"/>
          <w:szCs w:val="24"/>
        </w:rPr>
        <w:t>www.gxxokj.com /Qy/Login.aspx</w:t>
      </w:r>
      <w:r>
        <w:rPr>
          <w:rFonts w:hint="default" w:ascii="Times New Roman" w:hAnsi="Times New Roman" w:cs="Times New Roman"/>
          <w:b w:val="0"/>
          <w:bCs w:val="0"/>
          <w:color w:val="auto"/>
          <w:sz w:val="24"/>
          <w:szCs w:val="24"/>
        </w:rPr>
        <w:fldChar w:fldCharType="end"/>
      </w:r>
    </w:p>
    <w:p>
      <w:pPr>
        <w:pStyle w:val="5"/>
        <w:keepNext/>
        <w:keepLines/>
        <w:pageBreakBefore w:val="0"/>
        <w:widowControl w:val="0"/>
        <w:kinsoku/>
        <w:wordWrap/>
        <w:overflowPunct/>
        <w:topLinePunct w:val="0"/>
        <w:autoSpaceDE/>
        <w:autoSpaceDN/>
        <w:bidi w:val="0"/>
        <w:adjustRightInd/>
        <w:snapToGrid/>
        <w:spacing w:before="156" w:after="156" w:line="560" w:lineRule="exact"/>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b/>
          <w:bCs/>
          <w:color w:val="auto"/>
          <w:sz w:val="24"/>
          <w:szCs w:val="24"/>
        </w:rPr>
        <w:t>1.3安委办服务号端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359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方式一：二维码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微信扫一扫识别二维码登录</w:t>
            </w:r>
          </w:p>
        </w:tc>
        <w:tc>
          <w:tcPr>
            <w:tcW w:w="554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方式二：网址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手机浏览器，输入或复制网址到浏览器地址栏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3591" w:type="dxa"/>
            <w:noWrap w:val="0"/>
            <w:vAlign w:val="top"/>
          </w:tcPr>
          <w:p>
            <w:pPr>
              <w:pageBreakBefore w:val="0"/>
              <w:kinsoku/>
              <w:wordWrap/>
              <w:overflowPunct/>
              <w:topLinePunct w:val="0"/>
              <w:bidi w:val="0"/>
              <w:spacing w:line="560" w:lineRule="exact"/>
              <w:rPr>
                <w:rFonts w:hint="default"/>
              </w:rPr>
            </w:pPr>
          </w:p>
          <w:p>
            <w:pPr>
              <w:pStyle w:val="11"/>
              <w:rPr>
                <w:rFonts w:hint="default"/>
              </w:rPr>
            </w:pPr>
            <w:r>
              <w:rPr>
                <w:rFonts w:hint="default" w:ascii="Times New Roman" w:hAnsi="Times New Roman" w:cs="Times New Roman"/>
                <w:color w:val="auto"/>
                <w:sz w:val="24"/>
              </w:rPr>
              <w:drawing>
                <wp:inline distT="0" distB="0" distL="114300" distR="114300">
                  <wp:extent cx="641985" cy="641985"/>
                  <wp:effectExtent l="0" t="0" r="5715" b="5715"/>
                  <wp:docPr id="5" name="图片 1" descr="安委办服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委办服务号"/>
                          <pic:cNvPicPr>
                            <a:picLocks noChangeAspect="1"/>
                          </pic:cNvPicPr>
                        </pic:nvPicPr>
                        <pic:blipFill>
                          <a:blip r:embed="rId7"/>
                          <a:stretch>
                            <a:fillRect/>
                          </a:stretch>
                        </pic:blipFill>
                        <pic:spPr>
                          <a:xfrm>
                            <a:off x="0" y="0"/>
                            <a:ext cx="641985" cy="641985"/>
                          </a:xfrm>
                          <a:prstGeom prst="rect">
                            <a:avLst/>
                          </a:prstGeom>
                          <a:noFill/>
                          <a:ln>
                            <a:noFill/>
                          </a:ln>
                        </pic:spPr>
                      </pic:pic>
                    </a:graphicData>
                  </a:graphic>
                </wp:inline>
              </w:drawing>
            </w:r>
          </w:p>
        </w:tc>
        <w:tc>
          <w:tcPr>
            <w:tcW w:w="5548" w:type="dxa"/>
            <w:noWrap w:val="0"/>
            <w:vAlign w:val="center"/>
          </w:tcPr>
          <w:p>
            <w:pPr>
              <w:pageBreakBefore w:val="0"/>
              <w:kinsoku/>
              <w:wordWrap/>
              <w:overflowPunct/>
              <w:topLinePunct w:val="0"/>
              <w:bidi w:val="0"/>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"http:// www.gxxokj.com /m/Dw/Login.aspx" </w:instrText>
            </w:r>
            <w:r>
              <w:rPr>
                <w:rFonts w:hint="default" w:ascii="Times New Roman" w:hAnsi="Times New Roman" w:cs="Times New Roman"/>
                <w:color w:val="auto"/>
                <w:sz w:val="24"/>
              </w:rPr>
              <w:fldChar w:fldCharType="separate"/>
            </w:r>
            <w:r>
              <w:rPr>
                <w:rStyle w:val="9"/>
                <w:rFonts w:hint="default" w:ascii="Times New Roman" w:hAnsi="Times New Roman" w:cs="Times New Roman"/>
                <w:color w:val="auto"/>
                <w:sz w:val="24"/>
              </w:rPr>
              <w:t>http:// www.gxxokj.com /m/Dw/Login.aspx</w:t>
            </w:r>
            <w:r>
              <w:rPr>
                <w:rFonts w:hint="default" w:ascii="Times New Roman" w:hAnsi="Times New Roman" w:cs="Times New Roman"/>
                <w:color w:val="auto"/>
                <w:sz w:val="24"/>
              </w:rPr>
              <w:fldChar w:fldCharType="end"/>
            </w:r>
          </w:p>
        </w:tc>
      </w:tr>
    </w:tbl>
    <w:p>
      <w:pPr>
        <w:pStyle w:val="5"/>
        <w:pageBreakBefore w:val="0"/>
        <w:kinsoku/>
        <w:wordWrap/>
        <w:overflowPunct/>
        <w:topLinePunct w:val="0"/>
        <w:bidi w:val="0"/>
        <w:spacing w:before="156" w:after="156" w:line="560" w:lineRule="exact"/>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b/>
          <w:bCs/>
          <w:color w:val="auto"/>
          <w:sz w:val="24"/>
          <w:szCs w:val="24"/>
        </w:rPr>
        <w:t>1.4企业服务号端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2"/>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79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方式一：二维码</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方式二：网址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79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微信扫一扫识别二维码登录</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手机浏览器，输入或复制网址到浏览器地址栏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3794" w:type="dxa"/>
            <w:noWrap w:val="0"/>
            <w:vAlign w:val="top"/>
          </w:tcPr>
          <w:p>
            <w:pPr>
              <w:pageBreakBefore w:val="0"/>
              <w:kinsoku/>
              <w:wordWrap/>
              <w:overflowPunct/>
              <w:topLinePunct w:val="0"/>
              <w:bidi w:val="0"/>
              <w:spacing w:line="560" w:lineRule="exact"/>
              <w:rPr>
                <w:rFonts w:hint="default"/>
              </w:rPr>
            </w:pPr>
          </w:p>
          <w:p>
            <w:pPr>
              <w:pStyle w:val="11"/>
              <w:rPr>
                <w:rFonts w:hint="default"/>
              </w:rPr>
            </w:pPr>
            <w:r>
              <w:rPr>
                <w:rFonts w:hint="default" w:ascii="Times New Roman" w:hAnsi="Times New Roman" w:cs="Times New Roman"/>
                <w:color w:val="auto"/>
                <w:sz w:val="28"/>
                <w:szCs w:val="28"/>
              </w:rPr>
              <w:drawing>
                <wp:inline distT="0" distB="0" distL="114300" distR="114300">
                  <wp:extent cx="595630" cy="595630"/>
                  <wp:effectExtent l="0" t="0" r="13970" b="13970"/>
                  <wp:docPr id="1" name="图片 2" descr="企业服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企业服务号"/>
                          <pic:cNvPicPr>
                            <a:picLocks noChangeAspect="1"/>
                          </pic:cNvPicPr>
                        </pic:nvPicPr>
                        <pic:blipFill>
                          <a:blip r:embed="rId8"/>
                          <a:stretch>
                            <a:fillRect/>
                          </a:stretch>
                        </pic:blipFill>
                        <pic:spPr>
                          <a:xfrm>
                            <a:off x="0" y="0"/>
                            <a:ext cx="595630" cy="595630"/>
                          </a:xfrm>
                          <a:prstGeom prst="rect">
                            <a:avLst/>
                          </a:prstGeom>
                          <a:noFill/>
                          <a:ln>
                            <a:noFill/>
                          </a:ln>
                        </pic:spPr>
                      </pic:pic>
                    </a:graphicData>
                  </a:graphic>
                </wp:inline>
              </w:drawing>
            </w:r>
          </w:p>
        </w:tc>
        <w:tc>
          <w:tcPr>
            <w:tcW w:w="5953" w:type="dxa"/>
            <w:noWrap w:val="0"/>
            <w:vAlign w:val="center"/>
          </w:tcPr>
          <w:p>
            <w:pPr>
              <w:pageBreakBefore w:val="0"/>
              <w:kinsoku/>
              <w:wordWrap/>
              <w:overflowPunct/>
              <w:topLinePunct w:val="0"/>
              <w:bidi w:val="0"/>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"http:// www.gxxokj.com /m/Qy/Login.aspx" </w:instrText>
            </w:r>
            <w:r>
              <w:rPr>
                <w:rFonts w:hint="default" w:ascii="Times New Roman" w:hAnsi="Times New Roman" w:cs="Times New Roman"/>
                <w:color w:val="auto"/>
                <w:sz w:val="24"/>
              </w:rPr>
              <w:fldChar w:fldCharType="separate"/>
            </w:r>
            <w:r>
              <w:rPr>
                <w:rStyle w:val="9"/>
                <w:rFonts w:hint="default" w:ascii="Times New Roman" w:hAnsi="Times New Roman" w:cs="Times New Roman"/>
                <w:color w:val="auto"/>
                <w:sz w:val="24"/>
              </w:rPr>
              <w:t>http:// www.gxxokj.com /m/Qy/Login.aspx</w:t>
            </w:r>
            <w:r>
              <w:rPr>
                <w:rFonts w:hint="default" w:ascii="Times New Roman" w:hAnsi="Times New Roman" w:cs="Times New Roman"/>
                <w:color w:val="auto"/>
                <w:sz w:val="24"/>
              </w:rPr>
              <w:fldChar w:fldCharType="end"/>
            </w:r>
          </w:p>
        </w:tc>
      </w:tr>
    </w:tbl>
    <w:p>
      <w:pPr>
        <w:pStyle w:val="4"/>
        <w:pageBreakBefore w:val="0"/>
        <w:widowControl w:val="0"/>
        <w:kinsoku/>
        <w:wordWrap/>
        <w:overflowPunct/>
        <w:topLinePunct w:val="0"/>
        <w:autoSpaceDE/>
        <w:autoSpaceDN/>
        <w:bidi w:val="0"/>
        <w:adjustRightInd/>
        <w:snapToGrid/>
        <w:spacing w:before="312" w:after="156" w:line="560" w:lineRule="exact"/>
        <w:textAlignment w:val="auto"/>
        <w:rPr>
          <w:rFonts w:hint="eastAsia" w:ascii="Times New Roman" w:hAnsi="Times New Roman" w:eastAsia="黑体" w:cs="Times New Roman"/>
          <w:b w:val="0"/>
          <w:bCs w:val="0"/>
          <w:color w:val="auto"/>
          <w:sz w:val="24"/>
          <w:szCs w:val="24"/>
          <w:lang w:eastAsia="zh-CN"/>
        </w:rPr>
      </w:pPr>
      <w:r>
        <w:rPr>
          <w:rFonts w:hint="default" w:ascii="Times New Roman" w:hAnsi="Times New Roman" w:eastAsia="黑体" w:cs="Times New Roman"/>
          <w:b w:val="0"/>
          <w:bCs w:val="0"/>
          <w:color w:val="auto"/>
          <w:sz w:val="24"/>
          <w:szCs w:val="24"/>
          <w:lang w:val="en-US" w:eastAsia="zh-CN"/>
        </w:rPr>
        <w:t xml:space="preserve">   </w:t>
      </w:r>
      <w:r>
        <w:rPr>
          <w:rFonts w:hint="default" w:ascii="Times New Roman" w:hAnsi="Times New Roman" w:eastAsia="黑体" w:cs="Times New Roman"/>
          <w:b w:val="0"/>
          <w:bCs w:val="0"/>
          <w:color w:val="auto"/>
          <w:sz w:val="24"/>
          <w:szCs w:val="24"/>
        </w:rPr>
        <w:t>二、登录</w:t>
      </w:r>
      <w:r>
        <w:rPr>
          <w:rFonts w:hint="eastAsia" w:eastAsia="黑体" w:cs="Times New Roman"/>
          <w:b w:val="0"/>
          <w:bCs w:val="0"/>
          <w:color w:val="auto"/>
          <w:sz w:val="24"/>
          <w:szCs w:val="24"/>
          <w:lang w:val="en-US" w:eastAsia="zh-CN"/>
        </w:rPr>
        <w:t>账号</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lang w:val="en-US" w:eastAsia="zh-CN"/>
        </w:rPr>
        <w:t xml:space="preserve">   </w:t>
      </w:r>
      <w:r>
        <w:rPr>
          <w:rFonts w:hint="default" w:ascii="Times New Roman" w:hAnsi="Times New Roman" w:eastAsia="仿宋_GB2312" w:cs="Times New Roman"/>
          <w:b/>
          <w:color w:val="auto"/>
          <w:sz w:val="24"/>
          <w:szCs w:val="24"/>
        </w:rPr>
        <w:t>如何获取登录</w:t>
      </w:r>
      <w:r>
        <w:rPr>
          <w:rFonts w:hint="eastAsia" w:eastAsia="仿宋_GB2312" w:cs="Times New Roman"/>
          <w:b/>
          <w:color w:val="auto"/>
          <w:sz w:val="24"/>
          <w:szCs w:val="24"/>
          <w:lang w:val="en-US" w:eastAsia="zh-CN"/>
        </w:rPr>
        <w:t>账号</w:t>
      </w:r>
      <w:r>
        <w:rPr>
          <w:rFonts w:hint="default" w:ascii="Times New Roman" w:hAnsi="Times New Roman" w:eastAsia="仿宋_GB2312" w:cs="Times New Roman"/>
          <w:b/>
          <w:color w:val="auto"/>
          <w:sz w:val="24"/>
          <w:szCs w:val="24"/>
        </w:rPr>
        <w:t>？两种方式：</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管理员分配</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登录界面注册</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 注册后请先完善单位/企业信息，完善后才可以操作隐患排查登记。</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val="en-US" w:eastAsia="zh-CN"/>
        </w:rPr>
        <w:t xml:space="preserve">   </w:t>
      </w:r>
      <w:r>
        <w:rPr>
          <w:rFonts w:hint="default" w:ascii="Times New Roman" w:hAnsi="Times New Roman" w:eastAsia="黑体" w:cs="Times New Roman"/>
          <w:color w:val="auto"/>
          <w:sz w:val="24"/>
          <w:szCs w:val="24"/>
        </w:rPr>
        <w:t>三、操作使用</w:t>
      </w:r>
    </w:p>
    <w:p>
      <w:pPr>
        <w:pStyle w:val="5"/>
        <w:pageBreakBefore w:val="0"/>
        <w:widowControl w:val="0"/>
        <w:kinsoku/>
        <w:wordWrap/>
        <w:overflowPunct/>
        <w:topLinePunct w:val="0"/>
        <w:autoSpaceDE/>
        <w:autoSpaceDN/>
        <w:bidi w:val="0"/>
        <w:adjustRightInd/>
        <w:snapToGrid/>
        <w:spacing w:after="156"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3.1安委办用户</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登录后进入【考核检查】、【日常监管】、【灾害普查】完成排查工作。</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【上级检查】、【相关文件】：相关文件浏览。</w:t>
      </w:r>
    </w:p>
    <w:p>
      <w:pPr>
        <w:pStyle w:val="5"/>
        <w:pageBreakBefore w:val="0"/>
        <w:widowControl w:val="0"/>
        <w:kinsoku/>
        <w:wordWrap/>
        <w:overflowPunct/>
        <w:topLinePunct w:val="0"/>
        <w:autoSpaceDE/>
        <w:autoSpaceDN/>
        <w:bidi w:val="0"/>
        <w:adjustRightInd/>
        <w:snapToGrid/>
        <w:spacing w:after="156"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3.2企业用户</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登录后进入【企业自查】完成隐患排查工作。</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lang w:val="en-US" w:eastAsia="zh-CN"/>
        </w:rPr>
        <w:t xml:space="preserve">   </w:t>
      </w:r>
      <w:r>
        <w:rPr>
          <w:rFonts w:hint="default" w:ascii="Times New Roman" w:hAnsi="Times New Roman" w:eastAsia="仿宋_GB2312" w:cs="Times New Roman"/>
          <w:b/>
          <w:color w:val="auto"/>
          <w:sz w:val="24"/>
          <w:szCs w:val="24"/>
        </w:rPr>
        <w:t>* 详细登录后查看【帮助中心】</w:t>
      </w:r>
    </w:p>
    <w:p>
      <w:pPr>
        <w:pStyle w:val="11"/>
        <w:pageBreakBefore w:val="0"/>
        <w:kinsoku/>
        <w:wordWrap/>
        <w:overflowPunct/>
        <w:topLinePunct w:val="0"/>
        <w:bidi w:val="0"/>
        <w:spacing w:line="560" w:lineRule="exact"/>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kern w:val="2"/>
          <w:sz w:val="24"/>
          <w:szCs w:val="24"/>
          <w:lang w:val="en-US" w:eastAsia="zh-CN" w:bidi="ar-SA"/>
        </w:rPr>
        <w:t xml:space="preserve">    四、工作交流</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 xml:space="preserve">    各乡镇、县安委会各成员单位要落实专人负责，每月按时在本系统填报隐患清单和调度表，并加入工作交流群，及时沟通存在的问题。</w:t>
      </w: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0"/>
        <w:rPr>
          <w:rFonts w:hint="default" w:ascii="Times New Roman" w:hAnsi="Times New Roman" w:eastAsia="仿宋_GB2312" w:cs="Times New Roman"/>
          <w:b/>
          <w:bCs/>
          <w:color w:val="auto"/>
          <w:sz w:val="32"/>
          <w:szCs w:val="32"/>
          <w:lang w:val="en-US" w:eastAsia="zh-CN"/>
        </w:rPr>
      </w:pPr>
    </w:p>
    <w:p>
      <w:pPr>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部门领导履职清单表</w:t>
      </w:r>
    </w:p>
    <w:p>
      <w:pPr>
        <w:pStyle w:val="11"/>
        <w:pageBreakBefore w:val="0"/>
        <w:kinsoku/>
        <w:wordWrap/>
        <w:overflowPunct/>
        <w:topLinePunct w:val="0"/>
        <w:bidi w:val="0"/>
        <w:spacing w:line="560"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59" w:beforeLines="10" w:after="59" w:afterLines="10" w:line="560" w:lineRule="exact"/>
        <w:textAlignment w:val="auto"/>
        <w:rPr>
          <w:rFonts w:hint="default" w:ascii="Times New Roman" w:hAnsi="Times New Roman" w:cs="Times New Roman"/>
          <w:lang w:val="en-US" w:eastAsia="zh-CN"/>
        </w:rPr>
      </w:pPr>
      <w:r>
        <w:rPr>
          <w:rFonts w:hint="default" w:ascii="Times New Roman" w:hAnsi="Times New Roman" w:eastAsia="楷体_GB2312" w:cs="Times New Roman"/>
          <w:b w:val="0"/>
          <w:bCs w:val="0"/>
          <w:color w:val="auto"/>
          <w:sz w:val="24"/>
          <w:szCs w:val="32"/>
          <w:u w:val="single"/>
          <w:lang w:val="en-US" w:eastAsia="zh-CN"/>
        </w:rPr>
        <w:t xml:space="preserve">               </w:t>
      </w:r>
      <w:r>
        <w:rPr>
          <w:rFonts w:hint="default" w:ascii="Times New Roman" w:hAnsi="Times New Roman" w:eastAsia="楷体_GB2312" w:cs="Times New Roman"/>
          <w:b w:val="0"/>
          <w:bCs w:val="0"/>
          <w:color w:val="auto"/>
          <w:sz w:val="24"/>
          <w:szCs w:val="32"/>
          <w:lang w:eastAsia="zh-CN"/>
        </w:rPr>
        <w:t>（</w:t>
      </w:r>
      <w:r>
        <w:rPr>
          <w:rFonts w:hint="default" w:ascii="Times New Roman" w:hAnsi="Times New Roman" w:eastAsia="楷体_GB2312" w:cs="Times New Roman"/>
          <w:b w:val="0"/>
          <w:bCs w:val="0"/>
          <w:color w:val="auto"/>
          <w:sz w:val="24"/>
          <w:szCs w:val="32"/>
          <w:lang w:val="en-US" w:eastAsia="zh-CN"/>
        </w:rPr>
        <w:t>部门</w:t>
      </w:r>
      <w:r>
        <w:rPr>
          <w:rFonts w:hint="default" w:ascii="Times New Roman" w:hAnsi="Times New Roman" w:eastAsia="楷体_GB2312" w:cs="Times New Roman"/>
          <w:b w:val="0"/>
          <w:bCs w:val="0"/>
          <w:color w:val="auto"/>
          <w:sz w:val="24"/>
          <w:szCs w:val="32"/>
          <w:lang w:eastAsia="zh-CN"/>
        </w:rPr>
        <w:t>）</w:t>
      </w:r>
      <w:r>
        <w:rPr>
          <w:rFonts w:hint="default" w:ascii="Times New Roman" w:hAnsi="Times New Roman" w:eastAsia="楷体_GB2312" w:cs="Times New Roman"/>
          <w:b w:val="0"/>
          <w:bCs w:val="0"/>
          <w:color w:val="auto"/>
          <w:sz w:val="24"/>
          <w:szCs w:val="32"/>
          <w:lang w:val="en-US" w:eastAsia="zh-CN"/>
        </w:rPr>
        <w:t xml:space="preserve">                             填报时间：</w:t>
      </w:r>
      <w:r>
        <w:rPr>
          <w:rFonts w:hint="default" w:ascii="Times New Roman" w:hAnsi="Times New Roman" w:eastAsia="楷体_GB2312" w:cs="Times New Roman"/>
          <w:b w:val="0"/>
          <w:bCs w:val="0"/>
          <w:color w:val="auto"/>
          <w:sz w:val="24"/>
          <w:szCs w:val="32"/>
          <w:u w:val="single"/>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4349"/>
        <w:gridCol w:w="1248"/>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序号</w:t>
            </w:r>
          </w:p>
        </w:tc>
        <w:tc>
          <w:tcPr>
            <w:tcW w:w="4410"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内  容</w:t>
            </w:r>
          </w:p>
        </w:tc>
        <w:tc>
          <w:tcPr>
            <w:tcW w:w="1260"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是否</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落实</w:t>
            </w:r>
          </w:p>
        </w:tc>
        <w:tc>
          <w:tcPr>
            <w:tcW w:w="283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w:t>
            </w:r>
          </w:p>
        </w:tc>
        <w:tc>
          <w:tcPr>
            <w:tcW w:w="44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i w:val="0"/>
                <w:color w:val="auto"/>
                <w:kern w:val="0"/>
                <w:sz w:val="24"/>
                <w:szCs w:val="24"/>
                <w:u w:val="none"/>
                <w:lang w:val="en-US" w:eastAsia="zh-CN" w:bidi="ar"/>
              </w:rPr>
              <w:t xml:space="preserve">    部门主要负责同志专题研究重大事故隐患专项排查整治2023行动</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w:t>
            </w:r>
          </w:p>
        </w:tc>
        <w:tc>
          <w:tcPr>
            <w:tcW w:w="441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color w:val="auto"/>
                <w:kern w:val="0"/>
                <w:sz w:val="24"/>
                <w:szCs w:val="24"/>
                <w:u w:val="none"/>
                <w:lang w:val="en-US" w:eastAsia="zh-CN" w:bidi="ar"/>
              </w:rPr>
              <w:t xml:space="preserve">    部门主要负责同志</w:t>
            </w:r>
            <w:r>
              <w:rPr>
                <w:rFonts w:hint="default" w:ascii="Times New Roman" w:hAnsi="Times New Roman" w:eastAsia="仿宋_GB2312" w:cs="Times New Roman"/>
                <w:b w:val="0"/>
                <w:bCs w:val="0"/>
                <w:i w:val="0"/>
                <w:color w:val="auto"/>
                <w:spacing w:val="-11"/>
                <w:kern w:val="0"/>
                <w:sz w:val="24"/>
                <w:szCs w:val="24"/>
                <w:u w:val="none"/>
                <w:lang w:eastAsia="zh-CN" w:bidi="ar"/>
              </w:rPr>
              <w:t>专题组织学习安全生产十五条硬措施和自治区二十条细化措施及</w:t>
            </w:r>
            <w:r>
              <w:rPr>
                <w:rFonts w:hint="default" w:ascii="Times New Roman" w:hAnsi="Times New Roman" w:eastAsia="仿宋_GB2312" w:cs="Times New Roman"/>
                <w:b w:val="0"/>
                <w:bCs w:val="0"/>
                <w:color w:val="auto"/>
                <w:w w:val="100"/>
                <w:sz w:val="24"/>
                <w:szCs w:val="24"/>
                <w:lang w:eastAsia="zh-CN"/>
              </w:rPr>
              <w:t>贺州</w:t>
            </w:r>
            <w:r>
              <w:rPr>
                <w:rFonts w:hint="default" w:ascii="Times New Roman" w:hAnsi="Times New Roman" w:eastAsia="仿宋_GB2312" w:cs="Times New Roman"/>
                <w:b w:val="0"/>
                <w:bCs w:val="0"/>
                <w:color w:val="auto"/>
                <w:w w:val="100"/>
                <w:sz w:val="24"/>
                <w:szCs w:val="24"/>
                <w:lang w:val="en-US" w:eastAsia="zh-CN"/>
              </w:rPr>
              <w:t>33项具体措施情况</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3</w:t>
            </w:r>
          </w:p>
        </w:tc>
        <w:tc>
          <w:tcPr>
            <w:tcW w:w="441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 xml:space="preserve">    部门各分管领导部署所分管领域</w:t>
            </w:r>
            <w:r>
              <w:rPr>
                <w:rFonts w:hint="default" w:ascii="Times New Roman" w:hAnsi="Times New Roman" w:eastAsia="仿宋_GB2312" w:cs="Times New Roman"/>
                <w:b w:val="0"/>
                <w:bCs w:val="0"/>
                <w:i w:val="0"/>
                <w:color w:val="auto"/>
                <w:kern w:val="0"/>
                <w:sz w:val="24"/>
                <w:szCs w:val="24"/>
                <w:u w:val="none"/>
                <w:lang w:val="en-US" w:eastAsia="zh-CN" w:bidi="ar"/>
              </w:rPr>
              <w:t>重大事故隐患专项排查整治2023行动情况</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4</w:t>
            </w:r>
          </w:p>
        </w:tc>
        <w:tc>
          <w:tcPr>
            <w:tcW w:w="44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i w:val="0"/>
                <w:color w:val="auto"/>
                <w:kern w:val="0"/>
                <w:sz w:val="24"/>
                <w:szCs w:val="24"/>
                <w:u w:val="none"/>
                <w:lang w:val="en-US" w:eastAsia="zh-CN" w:bidi="ar"/>
              </w:rPr>
              <w:t xml:space="preserve">    部门其他负责同志按照职责分工和安全生产年度任务清单，每季度不少于一次到现场督导检查</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5</w:t>
            </w:r>
          </w:p>
        </w:tc>
        <w:tc>
          <w:tcPr>
            <w:tcW w:w="441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i w:val="0"/>
                <w:color w:val="auto"/>
                <w:kern w:val="0"/>
                <w:sz w:val="24"/>
                <w:szCs w:val="24"/>
                <w:u w:val="none"/>
                <w:lang w:val="en-US" w:eastAsia="zh-CN" w:bidi="ar"/>
              </w:rPr>
              <w:t xml:space="preserve">    至少每季度召开一次分管行业领域风险分析会情况</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bl>
    <w:p>
      <w:pPr>
        <w:pStyle w:val="10"/>
        <w:pageBreakBefore w:val="0"/>
        <w:kinsoku/>
        <w:wordWrap/>
        <w:overflowPunct/>
        <w:topLinePunct w:val="0"/>
        <w:bidi w:val="0"/>
        <w:spacing w:line="560" w:lineRule="exact"/>
        <w:rPr>
          <w:rFonts w:hint="default" w:ascii="Times New Roman" w:hAnsi="Times New Roman" w:cs="Times New Roman"/>
          <w:lang w:eastAsia="zh-CN"/>
        </w:rPr>
      </w:pPr>
    </w:p>
    <w:p>
      <w:pPr>
        <w:pageBreakBefore w:val="0"/>
        <w:kinsoku/>
        <w:wordWrap/>
        <w:overflowPunct/>
        <w:topLinePunct w:val="0"/>
        <w:bidi w:val="0"/>
        <w:spacing w:line="560" w:lineRule="exact"/>
        <w:rPr>
          <w:rFonts w:hint="default" w:ascii="Times New Roman" w:hAnsi="Times New Roman" w:cs="Times New Roman"/>
          <w:lang w:eastAsia="zh-CN"/>
        </w:rPr>
      </w:pPr>
    </w:p>
    <w:p>
      <w:pPr>
        <w:pStyle w:val="10"/>
        <w:ind w:left="0" w:leftChars="0" w:firstLine="0" w:firstLineChars="0"/>
        <w:rPr>
          <w:rFonts w:hint="default"/>
          <w:lang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全县重大事故隐患专项排查整治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2023行动进展情况调度表</w:t>
      </w:r>
    </w:p>
    <w:p>
      <w:pPr>
        <w:keepNext w:val="0"/>
        <w:keepLines w:val="0"/>
        <w:pageBreakBefore w:val="0"/>
        <w:widowControl w:val="0"/>
        <w:kinsoku/>
        <w:wordWrap/>
        <w:overflowPunct/>
        <w:topLinePunct w:val="0"/>
        <w:autoSpaceDE/>
        <w:autoSpaceDN/>
        <w:bidi w:val="0"/>
        <w:adjustRightInd/>
        <w:snapToGrid/>
        <w:spacing w:before="59" w:beforeLines="10" w:after="59" w:afterLines="10" w:line="560" w:lineRule="exact"/>
        <w:textAlignment w:val="auto"/>
        <w:rPr>
          <w:rFonts w:hint="default" w:ascii="Times New Roman" w:hAnsi="Times New Roman" w:eastAsia="楷体_GB2312" w:cs="Times New Roman"/>
          <w:b w:val="0"/>
          <w:bCs w:val="0"/>
          <w:color w:val="auto"/>
          <w:sz w:val="24"/>
          <w:szCs w:val="32"/>
          <w:lang w:val="en-US" w:eastAsia="zh-CN"/>
        </w:rPr>
      </w:pPr>
      <w:r>
        <w:rPr>
          <w:rFonts w:hint="default" w:ascii="Times New Roman" w:hAnsi="Times New Roman" w:eastAsia="楷体_GB2312" w:cs="Times New Roman"/>
          <w:b w:val="0"/>
          <w:bCs w:val="0"/>
          <w:color w:val="auto"/>
          <w:sz w:val="24"/>
          <w:szCs w:val="32"/>
          <w:lang w:val="en-US" w:eastAsia="zh-CN"/>
        </w:rPr>
        <w:t>__________</w:t>
      </w:r>
      <w:r>
        <w:rPr>
          <w:rFonts w:hint="default" w:ascii="Times New Roman" w:hAnsi="Times New Roman" w:eastAsia="仿宋_GB2312" w:cs="Times New Roman"/>
          <w:b w:val="0"/>
          <w:bCs w:val="0"/>
          <w:color w:val="auto"/>
          <w:sz w:val="24"/>
          <w:szCs w:val="32"/>
          <w:lang w:val="en-US" w:eastAsia="zh-CN"/>
        </w:rPr>
        <w:t>部门、乡</w:t>
      </w:r>
      <w:r>
        <w:rPr>
          <w:rFonts w:hint="default" w:ascii="Times New Roman" w:hAnsi="Times New Roman" w:eastAsia="仿宋_GB2312" w:cs="Times New Roman"/>
          <w:b w:val="0"/>
          <w:bCs w:val="0"/>
          <w:color w:val="auto"/>
          <w:sz w:val="24"/>
          <w:szCs w:val="32"/>
          <w:lang w:eastAsia="zh-CN"/>
        </w:rPr>
        <w:t>（</w:t>
      </w:r>
      <w:r>
        <w:rPr>
          <w:rFonts w:hint="default" w:ascii="Times New Roman" w:hAnsi="Times New Roman" w:eastAsia="仿宋_GB2312" w:cs="Times New Roman"/>
          <w:b w:val="0"/>
          <w:bCs w:val="0"/>
          <w:color w:val="auto"/>
          <w:sz w:val="24"/>
          <w:szCs w:val="32"/>
          <w:lang w:val="en-US" w:eastAsia="zh-CN"/>
        </w:rPr>
        <w:t>镇</w:t>
      </w:r>
      <w:r>
        <w:rPr>
          <w:rFonts w:hint="default" w:ascii="Times New Roman" w:hAnsi="Times New Roman" w:eastAsia="仿宋_GB2312" w:cs="Times New Roman"/>
          <w:b w:val="0"/>
          <w:bCs w:val="0"/>
          <w:color w:val="auto"/>
          <w:sz w:val="24"/>
          <w:szCs w:val="32"/>
          <w:lang w:eastAsia="zh-CN"/>
        </w:rPr>
        <w:t>）</w:t>
      </w:r>
      <w:r>
        <w:rPr>
          <w:rFonts w:hint="default" w:ascii="Times New Roman" w:hAnsi="Times New Roman" w:eastAsia="仿宋_GB2312" w:cs="Times New Roman"/>
          <w:b w:val="0"/>
          <w:bCs w:val="0"/>
          <w:color w:val="auto"/>
          <w:sz w:val="24"/>
          <w:szCs w:val="32"/>
          <w:lang w:val="en-US" w:eastAsia="zh-CN"/>
        </w:rPr>
        <w:t xml:space="preserve"> </w:t>
      </w:r>
      <w:r>
        <w:rPr>
          <w:rFonts w:hint="default" w:ascii="Times New Roman" w:hAnsi="Times New Roman" w:eastAsia="楷体_GB2312" w:cs="Times New Roman"/>
          <w:b w:val="0"/>
          <w:bCs w:val="0"/>
          <w:color w:val="auto"/>
          <w:sz w:val="24"/>
          <w:szCs w:val="32"/>
          <w:lang w:val="en-US" w:eastAsia="zh-CN"/>
        </w:rPr>
        <w:t xml:space="preserve">                  </w:t>
      </w:r>
      <w:r>
        <w:rPr>
          <w:rFonts w:hint="default" w:ascii="Times New Roman" w:hAnsi="Times New Roman" w:eastAsia="仿宋_GB2312" w:cs="Times New Roman"/>
          <w:b w:val="0"/>
          <w:bCs w:val="0"/>
          <w:color w:val="auto"/>
          <w:sz w:val="24"/>
          <w:szCs w:val="32"/>
          <w:lang w:val="en-US" w:eastAsia="zh-CN"/>
        </w:rPr>
        <w:t>时间：2023年   月   日</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
        <w:gridCol w:w="480"/>
        <w:gridCol w:w="2767"/>
        <w:gridCol w:w="767"/>
        <w:gridCol w:w="421"/>
        <w:gridCol w:w="2835"/>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企业自查发现的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重大事故隐患（个）</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eastAsia="zh-CN" w:bidi="ar"/>
              </w:rPr>
            </w:pPr>
            <w:r>
              <w:rPr>
                <w:rFonts w:hint="default" w:ascii="Times New Roman" w:hAnsi="Times New Roman" w:eastAsia="仿宋_GB2312" w:cs="Times New Roman"/>
                <w:b w:val="0"/>
                <w:bCs w:val="0"/>
                <w:i w:val="0"/>
                <w:color w:val="auto"/>
                <w:kern w:val="0"/>
                <w:sz w:val="21"/>
                <w:szCs w:val="21"/>
                <w:u w:val="none"/>
                <w:lang w:eastAsia="zh-CN" w:bidi="ar"/>
              </w:rPr>
              <w:t>2</w:t>
            </w:r>
          </w:p>
        </w:tc>
        <w:tc>
          <w:tcPr>
            <w:tcW w:w="2835"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企业自查发现重大事故隐患中</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已完成整改的</w:t>
            </w:r>
            <w:r>
              <w:rPr>
                <w:rFonts w:hint="default" w:ascii="Times New Roman" w:hAnsi="Times New Roman" w:eastAsia="仿宋_GB2312" w:cs="Times New Roman"/>
                <w:b w:val="0"/>
                <w:bCs w:val="0"/>
                <w:i w:val="0"/>
                <w:color w:val="auto"/>
                <w:kern w:val="0"/>
                <w:sz w:val="21"/>
                <w:szCs w:val="21"/>
                <w:u w:val="none"/>
                <w:lang w:eastAsia="zh-CN" w:bidi="ar"/>
              </w:rPr>
              <w:t>（个）</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rPr>
            </w:pPr>
            <w:r>
              <w:rPr>
                <w:rFonts w:hint="default" w:ascii="Times New Roman" w:hAnsi="Times New Roman" w:eastAsia="仿宋_GB2312" w:cs="Times New Roman"/>
                <w:b w:val="0"/>
                <w:bCs w:val="0"/>
                <w:i w:val="0"/>
                <w:color w:val="auto"/>
                <w:sz w:val="21"/>
                <w:szCs w:val="21"/>
                <w:u w:val="none"/>
              </w:rPr>
              <w:t>3</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部门检查发现的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重大事故隐患（个）</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eastAsia="zh-CN" w:bidi="ar"/>
              </w:rPr>
            </w:pPr>
            <w:r>
              <w:rPr>
                <w:rFonts w:hint="default" w:ascii="Times New Roman" w:hAnsi="Times New Roman" w:eastAsia="仿宋_GB2312" w:cs="Times New Roman"/>
                <w:b w:val="0"/>
                <w:bCs w:val="0"/>
                <w:i w:val="0"/>
                <w:color w:val="auto"/>
                <w:kern w:val="0"/>
                <w:sz w:val="21"/>
                <w:szCs w:val="21"/>
                <w:u w:val="none"/>
                <w:lang w:eastAsia="zh-CN" w:bidi="ar"/>
              </w:rPr>
              <w:t>4</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部门检查发现重大事故隐患中</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已完成整改的</w:t>
            </w:r>
            <w:r>
              <w:rPr>
                <w:rFonts w:hint="default" w:ascii="Times New Roman" w:hAnsi="Times New Roman" w:eastAsia="仿宋_GB2312" w:cs="Times New Roman"/>
                <w:b w:val="0"/>
                <w:bCs w:val="0"/>
                <w:i w:val="0"/>
                <w:color w:val="auto"/>
                <w:kern w:val="0"/>
                <w:sz w:val="21"/>
                <w:szCs w:val="21"/>
                <w:u w:val="none"/>
                <w:lang w:eastAsia="zh-CN" w:bidi="ar"/>
              </w:rPr>
              <w:t>（个）</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83" w:type="dxa"/>
            <w:vMerge w:val="continue"/>
            <w:tcBorders>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rPr>
            </w:pPr>
            <w:r>
              <w:rPr>
                <w:rFonts w:hint="default" w:ascii="Times New Roman" w:hAnsi="Times New Roman" w:eastAsia="仿宋_GB2312" w:cs="Times New Roman"/>
                <w:b w:val="0"/>
                <w:bCs w:val="0"/>
                <w:i w:val="0"/>
                <w:color w:val="auto"/>
                <w:sz w:val="21"/>
                <w:szCs w:val="21"/>
                <w:u w:val="none"/>
              </w:rPr>
              <w:t>5</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政府挂牌督办的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重大事故隐患（个）</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eastAsia="zh-CN" w:bidi="ar"/>
              </w:rPr>
            </w:pPr>
            <w:r>
              <w:rPr>
                <w:rFonts w:hint="default" w:ascii="Times New Roman" w:hAnsi="Times New Roman" w:eastAsia="仿宋_GB2312" w:cs="Times New Roman"/>
                <w:b w:val="0"/>
                <w:bCs w:val="0"/>
                <w:i w:val="0"/>
                <w:color w:val="auto"/>
                <w:kern w:val="0"/>
                <w:sz w:val="21"/>
                <w:szCs w:val="21"/>
                <w:u w:val="none"/>
                <w:lang w:eastAsia="zh-CN" w:bidi="ar"/>
              </w:rPr>
              <w:t>6</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挂牌督办重大事故隐患中</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已完成整改的</w:t>
            </w:r>
            <w:r>
              <w:rPr>
                <w:rFonts w:hint="default" w:ascii="Times New Roman" w:hAnsi="Times New Roman" w:eastAsia="仿宋_GB2312" w:cs="Times New Roman"/>
                <w:b w:val="0"/>
                <w:bCs w:val="0"/>
                <w:i w:val="0"/>
                <w:color w:val="auto"/>
                <w:kern w:val="0"/>
                <w:sz w:val="21"/>
                <w:szCs w:val="21"/>
                <w:u w:val="none"/>
                <w:lang w:eastAsia="zh-CN" w:bidi="ar"/>
              </w:rPr>
              <w:t>（个）</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83" w:type="dxa"/>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eastAsia="zh-CN" w:bidi="ar"/>
              </w:rPr>
              <w:t>对</w:t>
            </w:r>
            <w:r>
              <w:rPr>
                <w:rFonts w:hint="default" w:ascii="Times New Roman" w:hAnsi="Times New Roman" w:eastAsia="仿宋_GB2312" w:cs="Times New Roman"/>
                <w:b/>
                <w:bCs/>
                <w:i w:val="0"/>
                <w:color w:val="auto"/>
                <w:kern w:val="0"/>
                <w:sz w:val="24"/>
                <w:szCs w:val="24"/>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自查自改</w:t>
            </w:r>
            <w:r>
              <w:rPr>
                <w:rFonts w:hint="default" w:ascii="Times New Roman" w:hAnsi="Times New Roman" w:eastAsia="仿宋_GB2312" w:cs="Times New Roman"/>
                <w:b/>
                <w:bCs/>
                <w:i w:val="0"/>
                <w:color w:val="auto"/>
                <w:kern w:val="0"/>
                <w:sz w:val="24"/>
                <w:szCs w:val="24"/>
                <w:u w:val="none"/>
                <w:lang w:eastAsia="zh-CN" w:bidi="ar"/>
              </w:rPr>
              <w:t>进行抽查检查情况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部门抽查检查的企业总数（家）</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2</w:t>
            </w:r>
          </w:p>
        </w:tc>
        <w:tc>
          <w:tcPr>
            <w:tcW w:w="2835"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eastAsia="zh-CN" w:bidi="ar"/>
              </w:rPr>
            </w:pPr>
            <w:r>
              <w:rPr>
                <w:rFonts w:hint="default" w:ascii="Times New Roman" w:hAnsi="Times New Roman" w:eastAsia="仿宋_GB2312" w:cs="Times New Roman"/>
                <w:b w:val="0"/>
                <w:bCs w:val="0"/>
                <w:i w:val="0"/>
                <w:color w:val="auto"/>
                <w:kern w:val="0"/>
                <w:sz w:val="21"/>
                <w:szCs w:val="21"/>
                <w:u w:val="none"/>
                <w:lang w:eastAsia="zh-CN" w:bidi="ar"/>
              </w:rPr>
              <w:t>企业主要负责人未按要求</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eastAsia="zh-CN" w:bidi="ar"/>
              </w:rPr>
              <w:t>亲自研究</w:t>
            </w:r>
            <w:r>
              <w:rPr>
                <w:rFonts w:hint="default" w:ascii="Times New Roman" w:hAnsi="Times New Roman" w:eastAsia="仿宋_GB2312" w:cs="Times New Roman"/>
                <w:b w:val="0"/>
                <w:bCs w:val="0"/>
                <w:i w:val="0"/>
                <w:color w:val="auto"/>
                <w:kern w:val="0"/>
                <w:sz w:val="21"/>
                <w:szCs w:val="21"/>
                <w:u w:val="none"/>
                <w:lang w:val="en-US" w:eastAsia="zh-CN" w:bidi="ar"/>
              </w:rPr>
              <w:t>排查整治</w:t>
            </w:r>
            <w:r>
              <w:rPr>
                <w:rFonts w:hint="default" w:ascii="Times New Roman" w:hAnsi="Times New Roman" w:eastAsia="仿宋_GB2312" w:cs="Times New Roman"/>
                <w:b w:val="0"/>
                <w:bCs w:val="0"/>
                <w:i w:val="0"/>
                <w:color w:val="auto"/>
                <w:kern w:val="0"/>
                <w:sz w:val="21"/>
                <w:szCs w:val="21"/>
                <w:u w:val="none"/>
                <w:lang w:eastAsia="zh-CN" w:bidi="ar"/>
              </w:rPr>
              <w:t>工作</w:t>
            </w:r>
            <w:r>
              <w:rPr>
                <w:rFonts w:hint="default" w:ascii="Times New Roman" w:hAnsi="Times New Roman" w:eastAsia="仿宋_GB2312" w:cs="Times New Roman"/>
                <w:b w:val="0"/>
                <w:bCs w:val="0"/>
                <w:i w:val="0"/>
                <w:color w:val="auto"/>
                <w:kern w:val="0"/>
                <w:sz w:val="21"/>
                <w:szCs w:val="21"/>
                <w:u w:val="none"/>
                <w:lang w:val="en-US" w:eastAsia="zh-CN" w:bidi="ar"/>
              </w:rPr>
              <w:t>（家）</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3</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企业主要负责人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未带队检查（家）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4</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pacing w:val="-11"/>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企业未制定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分管负责人职责清单（家）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5</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企业未依法建立安全管理机构和配足安全管理人员（家）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6</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pacing w:val="-11"/>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电焊等特种作业岗位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pacing w:val="-11"/>
                <w:kern w:val="0"/>
                <w:sz w:val="21"/>
                <w:szCs w:val="21"/>
                <w:u w:val="none"/>
                <w:lang w:val="en-US" w:eastAsia="zh-CN" w:bidi="ar"/>
              </w:rPr>
              <w:t>人员无证上岗作业（家）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7</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外包外租安全管理混乱（家）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8</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eastAsia="zh-CN"/>
              </w:rPr>
            </w:pPr>
            <w:r>
              <w:rPr>
                <w:rFonts w:hint="default" w:ascii="Times New Roman" w:hAnsi="Times New Roman" w:eastAsia="仿宋_GB2312" w:cs="Times New Roman"/>
                <w:b w:val="0"/>
                <w:bCs w:val="0"/>
                <w:i w:val="0"/>
                <w:color w:val="auto"/>
                <w:sz w:val="21"/>
                <w:szCs w:val="21"/>
                <w:u w:val="none"/>
                <w:lang w:eastAsia="zh-CN"/>
              </w:rPr>
              <w:t>未按规定开展应急演练、</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员工不熟悉逃生出口</w:t>
            </w:r>
            <w:r>
              <w:rPr>
                <w:rFonts w:hint="default" w:ascii="Times New Roman" w:hAnsi="Times New Roman" w:eastAsia="仿宋_GB2312" w:cs="Times New Roman"/>
                <w:b w:val="0"/>
                <w:bCs w:val="0"/>
                <w:i w:val="0"/>
                <w:color w:val="auto"/>
                <w:sz w:val="21"/>
                <w:szCs w:val="21"/>
                <w:u w:val="none"/>
                <w:lang w:eastAsia="zh-CN"/>
              </w:rPr>
              <w:t>（家）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精准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严格</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执法</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帮扶指导重点乡镇（个次）</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2</w:t>
            </w:r>
          </w:p>
        </w:tc>
        <w:tc>
          <w:tcPr>
            <w:tcW w:w="2835"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帮扶指导重点企业（家次）</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3</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行政处罚（次，万元）</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4</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企业和企业主要负责人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“一案双罚”（次）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5</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移送司法机关（人）</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6</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eastAsia="zh-CN" w:bidi="ar"/>
              </w:rPr>
              <w:t>责令停产整顿</w:t>
            </w:r>
            <w:r>
              <w:rPr>
                <w:rFonts w:hint="default" w:ascii="Times New Roman" w:hAnsi="Times New Roman" w:eastAsia="仿宋_GB2312" w:cs="Times New Roman"/>
                <w:b w:val="0"/>
                <w:bCs w:val="0"/>
                <w:i w:val="0"/>
                <w:color w:val="auto"/>
                <w:kern w:val="0"/>
                <w:sz w:val="21"/>
                <w:szCs w:val="21"/>
                <w:u w:val="none"/>
                <w:lang w:val="en-US" w:eastAsia="zh-CN" w:bidi="ar"/>
              </w:rPr>
              <w:t>（家）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7</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曝光、约谈、联合惩戒</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8</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公布典型执法案例（个），其中危险作业罪案例（个）</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983" w:type="dxa"/>
            <w:vMerge w:val="continue"/>
            <w:tcBorders>
              <w:left w:val="single" w:color="000000" w:sz="12" w:space="0"/>
              <w:bottom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US" w:eastAsia="zh-CN"/>
              </w:rPr>
            </w:pPr>
            <w:r>
              <w:rPr>
                <w:rFonts w:hint="default" w:ascii="Times New Roman" w:hAnsi="Times New Roman" w:eastAsia="仿宋_GB2312" w:cs="Times New Roman"/>
                <w:b w:val="0"/>
                <w:bCs w:val="0"/>
                <w:i w:val="0"/>
                <w:color w:val="auto"/>
                <w:sz w:val="21"/>
                <w:szCs w:val="21"/>
                <w:u w:val="none"/>
                <w:lang w:val="en-US" w:eastAsia="zh-CN"/>
              </w:rPr>
              <w:t>9</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责任倒查追责问责（人）</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US" w:eastAsia="zh-CN"/>
              </w:rPr>
            </w:pPr>
            <w:r>
              <w:rPr>
                <w:rFonts w:hint="default" w:ascii="Times New Roman" w:hAnsi="Times New Roman" w:eastAsia="仿宋_GB2312" w:cs="Times New Roman"/>
                <w:b w:val="0"/>
                <w:bCs w:val="0"/>
                <w:i w:val="0"/>
                <w:color w:val="auto"/>
                <w:sz w:val="21"/>
                <w:szCs w:val="21"/>
                <w:u w:val="none"/>
                <w:lang w:val="en-US" w:eastAsia="zh-CN"/>
              </w:rPr>
              <w:t>10</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约谈通报有关地区及部门（次）</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党委</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领导</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情况</w:t>
            </w:r>
          </w:p>
        </w:tc>
        <w:tc>
          <w:tcPr>
            <w:tcW w:w="480"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1</w:t>
            </w:r>
          </w:p>
        </w:tc>
        <w:tc>
          <w:tcPr>
            <w:tcW w:w="2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spacing w:val="-11"/>
                <w:kern w:val="0"/>
                <w:sz w:val="21"/>
                <w:szCs w:val="21"/>
                <w:u w:val="none"/>
                <w:lang w:eastAsia="zh-CN" w:bidi="ar"/>
              </w:rPr>
              <w:t>党委政府分别组织专题学习安全生产十五条硬措施和自治区二十条细化措施及</w:t>
            </w:r>
            <w:r>
              <w:rPr>
                <w:rFonts w:hint="default" w:ascii="Times New Roman" w:hAnsi="Times New Roman" w:eastAsia="仿宋_GB2312" w:cs="Times New Roman"/>
                <w:b w:val="0"/>
                <w:bCs w:val="0"/>
                <w:color w:val="auto"/>
                <w:w w:val="100"/>
                <w:sz w:val="21"/>
                <w:szCs w:val="21"/>
                <w:lang w:eastAsia="zh-CN"/>
              </w:rPr>
              <w:t>贺州</w:t>
            </w:r>
            <w:r>
              <w:rPr>
                <w:rFonts w:hint="default" w:ascii="Times New Roman" w:hAnsi="Times New Roman" w:eastAsia="仿宋_GB2312" w:cs="Times New Roman"/>
                <w:b w:val="0"/>
                <w:bCs w:val="0"/>
                <w:color w:val="auto"/>
                <w:w w:val="100"/>
                <w:sz w:val="21"/>
                <w:szCs w:val="21"/>
                <w:lang w:val="en-US" w:eastAsia="zh-CN"/>
              </w:rPr>
              <w:t>33项具体措施</w:t>
            </w:r>
            <w:r>
              <w:rPr>
                <w:rFonts w:hint="default" w:ascii="Times New Roman" w:hAnsi="Times New Roman" w:eastAsia="仿宋_GB2312" w:cs="Times New Roman"/>
                <w:b w:val="0"/>
                <w:bCs w:val="0"/>
                <w:i w:val="0"/>
                <w:color w:val="auto"/>
                <w:spacing w:val="-11"/>
                <w:kern w:val="0"/>
                <w:sz w:val="21"/>
                <w:szCs w:val="21"/>
                <w:u w:val="none"/>
                <w:lang w:eastAsia="zh-CN" w:bidi="ar"/>
              </w:rPr>
              <w:t>（次）</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2</w:t>
            </w:r>
          </w:p>
        </w:tc>
        <w:tc>
          <w:tcPr>
            <w:tcW w:w="2835"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kern w:val="0"/>
                <w:sz w:val="21"/>
                <w:szCs w:val="21"/>
                <w:u w:val="none"/>
                <w:lang w:val="en-US" w:eastAsia="zh-CN" w:bidi="ar"/>
              </w:rPr>
              <w:t>党委政府主要</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负责同志分别专题研究（次）</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6"/>
                <w:szCs w:val="26"/>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3</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kern w:val="0"/>
                <w:sz w:val="21"/>
                <w:szCs w:val="21"/>
                <w:u w:val="none"/>
                <w:lang w:val="en-US" w:eastAsia="zh-CN" w:bidi="ar"/>
              </w:rPr>
              <w:t>政府负责同志</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分别到现场督导检查（次）</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eastAsia="zh-CN"/>
              </w:rPr>
            </w:pPr>
            <w:r>
              <w:rPr>
                <w:rFonts w:hint="default" w:ascii="Times New Roman" w:hAnsi="Times New Roman" w:eastAsia="仿宋_GB2312" w:cs="Times New Roman"/>
                <w:b w:val="0"/>
                <w:bCs w:val="0"/>
                <w:i w:val="0"/>
                <w:color w:val="auto"/>
                <w:sz w:val="21"/>
                <w:szCs w:val="21"/>
                <w:u w:val="none"/>
                <w:lang w:val="en" w:eastAsia="zh-CN"/>
              </w:rPr>
              <w:t>4</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sz w:val="21"/>
                <w:szCs w:val="21"/>
                <w:u w:val="none"/>
              </w:rPr>
              <w:t>安委会成员单位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z w:val="21"/>
                <w:szCs w:val="21"/>
                <w:u w:val="none"/>
              </w:rPr>
              <w:t>负责同志</w:t>
            </w:r>
            <w:r>
              <w:rPr>
                <w:rFonts w:hint="default" w:ascii="Times New Roman" w:hAnsi="Times New Roman" w:eastAsia="仿宋_GB2312" w:cs="Times New Roman"/>
                <w:b w:val="0"/>
                <w:bCs w:val="0"/>
                <w:i w:val="0"/>
                <w:color w:val="auto"/>
                <w:sz w:val="21"/>
                <w:szCs w:val="21"/>
                <w:u w:val="none"/>
                <w:lang w:eastAsia="zh-CN"/>
              </w:rPr>
              <w:t>分别</w:t>
            </w:r>
            <w:r>
              <w:rPr>
                <w:rFonts w:hint="default" w:ascii="Times New Roman" w:hAnsi="Times New Roman" w:eastAsia="仿宋_GB2312" w:cs="Times New Roman"/>
                <w:b w:val="0"/>
                <w:bCs w:val="0"/>
                <w:i w:val="0"/>
                <w:color w:val="auto"/>
                <w:sz w:val="21"/>
                <w:szCs w:val="21"/>
                <w:u w:val="none"/>
              </w:rPr>
              <w:t>到企业宣讲</w:t>
            </w:r>
            <w:r>
              <w:rPr>
                <w:rFonts w:hint="default" w:ascii="Times New Roman" w:hAnsi="Times New Roman" w:eastAsia="仿宋_GB2312" w:cs="Times New Roman"/>
                <w:b w:val="0"/>
                <w:bCs w:val="0"/>
                <w:i w:val="0"/>
                <w:color w:val="auto"/>
                <w:sz w:val="21"/>
                <w:szCs w:val="21"/>
                <w:u w:val="none"/>
                <w:lang w:eastAsia="zh-CN"/>
              </w:rPr>
              <w:t>（次）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6"/>
                <w:szCs w:val="26"/>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5</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举报奖励（万元），其中</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匿名举报查实奖励（万元）</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6</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是否在</w:t>
            </w: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kern w:val="0"/>
                <w:sz w:val="21"/>
                <w:szCs w:val="21"/>
                <w:u w:val="none"/>
                <w:lang w:val="en-US" w:eastAsia="zh-CN" w:bidi="ar"/>
              </w:rPr>
              <w:t>级主流媒体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播放安全生产专题栏目</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6"/>
                <w:szCs w:val="26"/>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eastAsia="zh-CN"/>
              </w:rPr>
            </w:pPr>
            <w:r>
              <w:rPr>
                <w:rFonts w:hint="default" w:ascii="Times New Roman" w:hAnsi="Times New Roman" w:eastAsia="仿宋_GB2312" w:cs="Times New Roman"/>
                <w:b w:val="0"/>
                <w:bCs w:val="0"/>
                <w:i w:val="0"/>
                <w:color w:val="auto"/>
                <w:sz w:val="21"/>
                <w:szCs w:val="21"/>
                <w:u w:val="none"/>
                <w:lang w:val="en" w:eastAsia="zh-CN"/>
              </w:rPr>
              <w:t>7</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kern w:val="0"/>
                <w:sz w:val="21"/>
                <w:szCs w:val="21"/>
                <w:u w:val="none"/>
                <w:lang w:val="en-US" w:eastAsia="zh-CN" w:bidi="ar"/>
              </w:rPr>
              <w:t>两级配备专兼职</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技术检查员数量（人）</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eastAsia="zh-CN"/>
              </w:rPr>
            </w:pPr>
            <w:r>
              <w:rPr>
                <w:rFonts w:hint="default" w:ascii="Times New Roman" w:hAnsi="Times New Roman" w:eastAsia="仿宋_GB2312" w:cs="Times New Roman"/>
                <w:b w:val="0"/>
                <w:bCs w:val="0"/>
                <w:i w:val="0"/>
                <w:color w:val="auto"/>
                <w:sz w:val="21"/>
                <w:szCs w:val="21"/>
                <w:u w:val="none"/>
                <w:lang w:eastAsia="zh-CN"/>
              </w:rPr>
              <w:t>8</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组织开展考核巡查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eastAsia="zh-CN"/>
              </w:rPr>
            </w:pPr>
            <w:r>
              <w:rPr>
                <w:rFonts w:hint="default" w:ascii="Times New Roman" w:hAnsi="Times New Roman" w:eastAsia="仿宋_GB2312" w:cs="Times New Roman"/>
                <w:b w:val="0"/>
                <w:bCs w:val="0"/>
                <w:i w:val="0"/>
                <w:color w:val="auto"/>
                <w:kern w:val="0"/>
                <w:sz w:val="21"/>
                <w:szCs w:val="21"/>
                <w:u w:val="none"/>
                <w:lang w:val="en-US" w:eastAsia="zh-CN" w:bidi="ar"/>
              </w:rPr>
              <w:t>督导检查（次）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983" w:type="dxa"/>
            <w:vMerge w:val="continue"/>
            <w:tcBorders>
              <w:left w:val="single" w:color="000000" w:sz="12" w:space="0"/>
              <w:bottom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6"/>
                <w:szCs w:val="26"/>
                <w:u w:val="none"/>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 w:eastAsia="zh-CN" w:bidi="ar-SA"/>
              </w:rPr>
            </w:pPr>
            <w:r>
              <w:rPr>
                <w:rFonts w:hint="default" w:ascii="Times New Roman" w:hAnsi="Times New Roman" w:eastAsia="仿宋_GB2312" w:cs="Times New Roman"/>
                <w:b w:val="0"/>
                <w:bCs w:val="0"/>
                <w:i w:val="0"/>
                <w:color w:val="auto"/>
                <w:sz w:val="21"/>
                <w:szCs w:val="21"/>
                <w:u w:val="none"/>
                <w:lang w:val="en-US" w:eastAsia="zh-CN"/>
              </w:rPr>
              <w:t>9</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制作安全事故警示教育片（部）</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kern w:val="2"/>
                <w:sz w:val="21"/>
                <w:szCs w:val="21"/>
                <w:u w:val="none"/>
                <w:lang w:val="en-US" w:eastAsia="zh-CN" w:bidi="ar-SA"/>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z w:val="21"/>
                <w:szCs w:val="21"/>
                <w:u w:val="none"/>
                <w:lang w:val="en-US" w:eastAsia="zh-CN"/>
              </w:rPr>
              <w:t>10</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播放安全事故警示教育片（次）</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color w:val="auto"/>
          <w:sz w:val="24"/>
          <w:szCs w:val="24"/>
          <w:lang w:eastAsia="zh-CN"/>
        </w:rPr>
      </w:pPr>
      <w:r>
        <w:rPr>
          <w:rFonts w:hint="default" w:ascii="Times New Roman" w:hAnsi="Times New Roman" w:eastAsia="仿宋_GB2312" w:cs="Times New Roman"/>
          <w:b w:val="0"/>
          <w:bCs w:val="0"/>
          <w:color w:val="auto"/>
          <w:sz w:val="24"/>
          <w:szCs w:val="32"/>
          <w:lang w:val="en-US" w:eastAsia="zh-CN"/>
        </w:rPr>
        <w:t xml:space="preserve">    </w:t>
      </w:r>
      <w:r>
        <w:rPr>
          <w:rFonts w:hint="default" w:ascii="Times New Roman" w:hAnsi="Times New Roman" w:eastAsia="仿宋_GB2312" w:cs="Times New Roman"/>
          <w:b w:val="0"/>
          <w:bCs/>
          <w:color w:val="auto"/>
          <w:sz w:val="24"/>
          <w:szCs w:val="24"/>
          <w:lang w:eastAsia="zh-CN"/>
        </w:rPr>
        <w:t>注：1.</w:t>
      </w:r>
      <w:r>
        <w:rPr>
          <w:rFonts w:hint="default" w:ascii="Times New Roman" w:hAnsi="Times New Roman" w:eastAsia="仿宋_GB2312" w:cs="Times New Roman"/>
          <w:b w:val="0"/>
          <w:bCs/>
          <w:color w:val="auto"/>
          <w:sz w:val="24"/>
          <w:szCs w:val="24"/>
          <w:lang w:val="en-US" w:eastAsia="zh-CN"/>
        </w:rPr>
        <w:t>县</w:t>
      </w:r>
      <w:r>
        <w:rPr>
          <w:rFonts w:hint="default" w:ascii="Times New Roman" w:hAnsi="Times New Roman" w:eastAsia="仿宋_GB2312" w:cs="Times New Roman"/>
          <w:b w:val="0"/>
          <w:bCs/>
          <w:color w:val="auto"/>
          <w:sz w:val="24"/>
          <w:szCs w:val="24"/>
          <w:lang w:eastAsia="zh-CN"/>
        </w:rPr>
        <w:t>安委会办公室对各</w:t>
      </w:r>
      <w:r>
        <w:rPr>
          <w:rFonts w:hint="default" w:ascii="Times New Roman" w:hAnsi="Times New Roman" w:eastAsia="仿宋_GB2312" w:cs="Times New Roman"/>
          <w:b w:val="0"/>
          <w:bCs/>
          <w:color w:val="auto"/>
          <w:sz w:val="24"/>
          <w:szCs w:val="24"/>
          <w:lang w:val="en-US" w:eastAsia="zh-CN"/>
        </w:rPr>
        <w:t>乡镇</w:t>
      </w:r>
      <w:r>
        <w:rPr>
          <w:rFonts w:hint="default" w:ascii="Times New Roman" w:hAnsi="Times New Roman" w:eastAsia="仿宋_GB2312" w:cs="Times New Roman"/>
          <w:b w:val="0"/>
          <w:bCs/>
          <w:color w:val="auto"/>
          <w:sz w:val="24"/>
          <w:szCs w:val="24"/>
          <w:lang w:eastAsia="zh-CN"/>
        </w:rPr>
        <w:t>、各部门进行月度调度。调度表自</w:t>
      </w:r>
      <w:r>
        <w:rPr>
          <w:rFonts w:hint="default" w:ascii="Times New Roman" w:hAnsi="Times New Roman" w:eastAsia="仿宋_GB2312" w:cs="Times New Roman"/>
          <w:b w:val="0"/>
          <w:bCs/>
          <w:color w:val="auto"/>
          <w:sz w:val="24"/>
          <w:szCs w:val="24"/>
          <w:lang w:val="en-US" w:eastAsia="zh-CN"/>
        </w:rPr>
        <w:t>6月份开始上报，</w:t>
      </w:r>
      <w:r>
        <w:rPr>
          <w:rFonts w:hint="default" w:ascii="Times New Roman" w:hAnsi="Times New Roman" w:eastAsia="仿宋_GB2312" w:cs="Times New Roman"/>
          <w:b w:val="0"/>
          <w:bCs/>
          <w:color w:val="auto"/>
          <w:sz w:val="24"/>
          <w:szCs w:val="24"/>
          <w:lang w:eastAsia="zh-CN"/>
        </w:rPr>
        <w:t>每月</w:t>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lang w:eastAsia="zh-CN"/>
        </w:rPr>
        <w:t>日前上报。调度表由</w:t>
      </w:r>
      <w:r>
        <w:rPr>
          <w:rFonts w:hint="default" w:ascii="Times New Roman" w:hAnsi="Times New Roman" w:eastAsia="仿宋_GB2312" w:cs="Times New Roman"/>
          <w:b/>
          <w:bCs w:val="0"/>
          <w:color w:val="auto"/>
          <w:sz w:val="24"/>
          <w:szCs w:val="24"/>
          <w:lang w:eastAsia="zh-CN"/>
        </w:rPr>
        <w:t>各部门、各</w:t>
      </w:r>
      <w:r>
        <w:rPr>
          <w:rFonts w:hint="default" w:ascii="Times New Roman" w:hAnsi="Times New Roman" w:eastAsia="仿宋_GB2312" w:cs="Times New Roman"/>
          <w:b/>
          <w:bCs w:val="0"/>
          <w:color w:val="auto"/>
          <w:sz w:val="24"/>
          <w:szCs w:val="24"/>
          <w:lang w:val="en-US" w:eastAsia="zh-CN"/>
        </w:rPr>
        <w:t>乡镇</w:t>
      </w:r>
      <w:r>
        <w:rPr>
          <w:rFonts w:hint="default" w:ascii="Times New Roman" w:hAnsi="Times New Roman" w:eastAsia="仿宋_GB2312" w:cs="Times New Roman"/>
          <w:b/>
          <w:bCs w:val="0"/>
          <w:color w:val="auto"/>
          <w:sz w:val="24"/>
          <w:szCs w:val="24"/>
          <w:lang w:eastAsia="zh-CN"/>
        </w:rPr>
        <w:t>在全市隐患排查系统数据库中报送</w:t>
      </w:r>
      <w:r>
        <w:rPr>
          <w:rFonts w:hint="default" w:ascii="Times New Roman" w:hAnsi="Times New Roman" w:eastAsia="仿宋_GB2312" w:cs="Times New Roman"/>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    </w:t>
      </w:r>
      <w:r>
        <w:rPr>
          <w:rFonts w:hint="eastAsia" w:eastAsia="仿宋_GB2312" w:cs="Times New Roman"/>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2.调度表内容应围绕专项排查整治工作并对照方案具体要求如实填报，特别是对企业自查情况进行抽查检查时，要深挖细查。如：电焊等人员无证上岗作业，既要通过现场检查发现问题，也要通过对企业动火等特种作业存单进行核实来发现问题；外包外租管理混乱，是指</w:t>
      </w:r>
      <w:r>
        <w:rPr>
          <w:rFonts w:hint="default" w:ascii="Times New Roman" w:hAnsi="Times New Roman" w:eastAsia="仿宋_GB2312" w:cs="Times New Roman"/>
          <w:b w:val="0"/>
          <w:bCs/>
          <w:color w:val="auto"/>
          <w:sz w:val="24"/>
          <w:szCs w:val="24"/>
          <w:lang w:val="en" w:eastAsia="zh-CN"/>
        </w:rPr>
        <w:t>以下情形之一的：</w:t>
      </w:r>
      <w:r>
        <w:rPr>
          <w:rFonts w:hint="default" w:ascii="Times New Roman" w:hAnsi="Times New Roman" w:eastAsia="仿宋_GB2312" w:cs="Times New Roman"/>
          <w:b w:val="0"/>
          <w:bCs/>
          <w:color w:val="auto"/>
          <w:sz w:val="24"/>
          <w:szCs w:val="24"/>
          <w:lang w:val="en-US" w:eastAsia="zh-CN"/>
        </w:rPr>
        <w:t>承包承租方不具备安全生产条件、未取得相应资质，双方未签订安全生产协议，安全生产管理职责不清，未纳入本企业统一管理。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    </w:t>
      </w:r>
      <w:r>
        <w:rPr>
          <w:rFonts w:hint="eastAsia" w:eastAsia="仿宋_GB2312" w:cs="Times New Roman"/>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3.调度表中明确提出县、乡镇的有关事项需要分开进行统计上报。</w:t>
      </w:r>
    </w:p>
    <w:p/>
    <w:p>
      <w:pPr>
        <w:pStyle w:val="10"/>
        <w:pageBreakBefore w:val="0"/>
        <w:kinsoku/>
        <w:wordWrap/>
        <w:overflowPunct/>
        <w:topLinePunct w:val="0"/>
        <w:bidi w:val="0"/>
        <w:spacing w:line="560" w:lineRule="exact"/>
        <w:ind w:left="0" w:leftChars="0" w:firstLine="0" w:firstLine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企业主要负责人履职自查清单表</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default" w:ascii="Times New Roman" w:hAnsi="Times New Roman" w:cs="Times New Roman"/>
          <w:color w:val="auto"/>
          <w:lang w:val="en-US" w:eastAsia="zh-CN"/>
        </w:rPr>
      </w:pPr>
    </w:p>
    <w:tbl>
      <w:tblPr>
        <w:tblStyle w:val="7"/>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4899"/>
        <w:gridCol w:w="705"/>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任务</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要求</w:t>
            </w:r>
          </w:p>
        </w:tc>
        <w:tc>
          <w:tcPr>
            <w:tcW w:w="489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具体内容</w:t>
            </w:r>
          </w:p>
        </w:tc>
        <w:tc>
          <w:tcPr>
            <w:tcW w:w="70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是否落实</w:t>
            </w:r>
          </w:p>
        </w:tc>
        <w:tc>
          <w:tcPr>
            <w:tcW w:w="190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kern w:val="2"/>
                <w:sz w:val="24"/>
                <w:szCs w:val="24"/>
                <w:vertAlign w:val="baseline"/>
                <w:lang w:val="en-US" w:eastAsia="zh-CN" w:bidi="ar-SA"/>
              </w:rPr>
              <w:t>一、</w:t>
            </w:r>
            <w:r>
              <w:rPr>
                <w:rFonts w:hint="default" w:ascii="Times New Roman" w:hAnsi="Times New Roman" w:eastAsia="仿宋_GB2312" w:cs="Times New Roman"/>
                <w:b/>
                <w:bCs/>
                <w:color w:val="auto"/>
                <w:sz w:val="24"/>
                <w:szCs w:val="24"/>
                <w:lang w:val="en-US" w:eastAsia="zh-CN"/>
              </w:rPr>
              <w:t>突出抓好重大事故隐患自查自改</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1.企业主要负责人要组织召开专题会议研究部署专项行动，学习研究本行业领域重大事故隐患判定标准或重点检查事项</w:t>
            </w:r>
            <w:r>
              <w:rPr>
                <w:rFonts w:hint="eastAsia" w:ascii="仿宋_GB2312" w:hAnsi="仿宋_GB2312" w:eastAsia="仿宋_GB2312" w:cs="仿宋_GB2312"/>
                <w:color w:val="000000"/>
                <w:sz w:val="24"/>
                <w:szCs w:val="24"/>
                <w:lang w:val="en-US" w:eastAsia="zh-CN"/>
              </w:rPr>
              <w:t>。</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2.迅速召开全员动员部署会议，开展对标对表自查自改。</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3.组织制定专项行动实施方案，建立企业重大事故隐患台账清单，每月至少召开1次专项行动推进会，对自查发现的重大事故隐患实行闭环管理</w:t>
            </w:r>
            <w:r>
              <w:rPr>
                <w:rFonts w:hint="eastAsia" w:ascii="仿宋_GB2312" w:hAnsi="仿宋_GB2312" w:eastAsia="仿宋_GB2312" w:cs="仿宋_GB2312"/>
                <w:color w:val="000000"/>
                <w:sz w:val="24"/>
                <w:szCs w:val="24"/>
                <w:lang w:val="en-US" w:eastAsia="zh-CN"/>
              </w:rPr>
              <w:t>。</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4.对需要一定时间整改的重大事故隐患，要明确责任人、措施、资金、期限和应急预案，并按分级属地原则向行业主管部门报告。</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5.及时吸取典型事故教训，迅速组织排查整治本企业同类事故隐患。</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6.专项行动期间，主要负责人每季度要带队对本单位重大事故隐患排查整治情况至少开展1次检查（非煤矿山、危险化学品、烟花爆竹、交通运输、建筑施工、民用爆炸物品、金属冶炼、渔业生产等高危行业领域企业每月至少1次）。</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kern w:val="2"/>
                <w:sz w:val="24"/>
                <w:szCs w:val="24"/>
                <w:vertAlign w:val="baseline"/>
                <w:lang w:val="en-US" w:eastAsia="zh-CN" w:bidi="ar-SA"/>
              </w:rPr>
              <w:t>二、</w:t>
            </w:r>
            <w:r>
              <w:rPr>
                <w:rFonts w:hint="default" w:ascii="Times New Roman" w:hAnsi="Times New Roman" w:eastAsia="仿宋_GB2312" w:cs="Times New Roman"/>
                <w:b/>
                <w:bCs/>
                <w:color w:val="auto"/>
                <w:sz w:val="24"/>
                <w:szCs w:val="24"/>
                <w:lang w:val="en-US" w:eastAsia="zh-CN"/>
              </w:rPr>
              <w:t>突出抓好全员安全生产责任落实到岗到人到位</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1.企业主要负责人要组织开展全员安全生产岗位责任制定和落实情况全面自查自纠，明确从主要负责人到一线从业人员（包括劳务派遣人员、实习生等）的安全生产岗位责任。</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2.要建立安全生产技术和管理团队，组织制定企业各分管负责人安全生产职责清单和本次专项行动工作清单。</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3.按规定设置安全生产管理机构或者配备专兼职安全生产管理人员，配足配强相关专业技术人员。</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4.根据需要聘请行业领域安全生产专家强化技术指导，精准查找、科学治理重大事故隐患，提高隐患排查和整改的质量。</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任务</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要求</w:t>
            </w:r>
          </w:p>
        </w:tc>
        <w:tc>
          <w:tcPr>
            <w:tcW w:w="489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default" w:ascii="Times New Roman" w:hAnsi="Times New Roman" w:eastAsia="黑体" w:cs="Times New Roman"/>
                <w:b w:val="0"/>
                <w:bCs w:val="0"/>
                <w:color w:val="auto"/>
                <w:kern w:val="2"/>
                <w:sz w:val="24"/>
                <w:szCs w:val="24"/>
                <w:lang w:val="en-US" w:eastAsia="zh-CN" w:bidi="ar-SA"/>
              </w:rPr>
              <w:t>具体内容</w:t>
            </w:r>
          </w:p>
        </w:tc>
        <w:tc>
          <w:tcPr>
            <w:tcW w:w="70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是否落实</w:t>
            </w:r>
          </w:p>
        </w:tc>
        <w:tc>
          <w:tcPr>
            <w:tcW w:w="190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sz w:val="24"/>
                <w:szCs w:val="24"/>
                <w:lang w:val="en-US" w:eastAsia="zh-CN"/>
              </w:rPr>
              <w:t>三、突出抓好动火等</w:t>
            </w:r>
            <w:r>
              <w:rPr>
                <w:rFonts w:hint="default" w:ascii="Times New Roman" w:hAnsi="Times New Roman" w:eastAsia="仿宋_GB2312" w:cs="Times New Roman"/>
                <w:b/>
                <w:bCs/>
                <w:color w:val="auto"/>
                <w:sz w:val="24"/>
                <w:szCs w:val="24"/>
                <w:lang w:eastAsia="zh-CN"/>
              </w:rPr>
              <w:t>危险作业排查整治</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1.企业主要负责人要组织开展1次全员安全警示教育活动，组织开展爆破、吊装、动火、临时用电、有限空间等危险作业专项排查整治</w:t>
            </w:r>
            <w:r>
              <w:rPr>
                <w:rFonts w:hint="eastAsia" w:ascii="仿宋_GB2312" w:hAnsi="仿宋_GB2312" w:eastAsia="仿宋_GB2312" w:cs="仿宋_GB2312"/>
                <w:color w:val="000000"/>
                <w:sz w:val="24"/>
                <w:szCs w:val="24"/>
                <w:lang w:val="en-US" w:eastAsia="zh-CN"/>
              </w:rPr>
              <w:t>。</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严格履行电气焊等危险作业审批手续，督促作业人员严格遵守消防安全操作规程，明确现场监护人员，严格落实消防安全措施检查和作业过程监督；组织对电气焊设备进行全面安全检查，严禁带病作业，不得使用淘汰或危及安全的电气焊设备。</w:t>
            </w:r>
          </w:p>
        </w:tc>
        <w:tc>
          <w:tcPr>
            <w:tcW w:w="705" w:type="dxa"/>
            <w:noWrap w:val="0"/>
            <w:vAlign w:val="top"/>
          </w:tcPr>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3.举一反三组织对危险作业人员以及易产生重大事故隐患的其他关键岗位人员落实岗位责任情况进行1次全面排查，严禁聘用和招请未经安全培训合格、未取得相关证书的人员在特种作业岗位上岗作业，明确“谁招请无证人员，谁负责任”的管理制度。</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eastAsia" w:ascii="Times New Roman" w:hAnsi="Times New Roman" w:eastAsia="仿宋_GB2312" w:cs="Times New Roman"/>
                <w:b/>
                <w:bCs/>
                <w:color w:val="auto"/>
                <w:kern w:val="2"/>
                <w:sz w:val="24"/>
                <w:szCs w:val="24"/>
                <w:vertAlign w:val="baseline"/>
                <w:lang w:val="en-US" w:eastAsia="zh-CN" w:bidi="ar-SA"/>
              </w:rPr>
              <w:t>四、突出抓好外包外租等生产经营活动排查整治</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针对本企业生产经营项目和场所外包外租（包括委托、合作等类似方式）情况组织开展1次全面排查，重点检查“是否存在承包承租方不具备安全生产条件或相应资质；安全生产管理职责不清；未与承包承租方签订安全生产管理协议；未在承包承租合同中对企业及承包承租方安全管理职责进行约定；安全生产管理协议或承包承租合同中免除或者转嫁企业安全生产工作统一协调管理义务；未定期对承包承租方进行安全检查；发现承包承租方存在安全问题未及时督促整改；未对现场安全情况进行安全确认”等问题，对以上不符合法律法规规定的要坚决依法处理。</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2.将外包外租等生产经营活动纳入本企业安全生产管理体系，加强统一协调、管理，定期进行安全检查，发现安全问题的及时督促整改。</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4"/>
                <w:szCs w:val="24"/>
                <w:lang w:val="en-US" w:eastAsia="zh-CN"/>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任务</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要求</w:t>
            </w:r>
          </w:p>
        </w:tc>
        <w:tc>
          <w:tcPr>
            <w:tcW w:w="489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default" w:ascii="Times New Roman" w:hAnsi="Times New Roman" w:eastAsia="黑体" w:cs="Times New Roman"/>
                <w:b w:val="0"/>
                <w:bCs w:val="0"/>
                <w:color w:val="auto"/>
                <w:kern w:val="2"/>
                <w:sz w:val="24"/>
                <w:szCs w:val="24"/>
                <w:lang w:val="en-US" w:eastAsia="zh-CN" w:bidi="ar-SA"/>
              </w:rPr>
              <w:t>具体内容</w:t>
            </w:r>
          </w:p>
        </w:tc>
        <w:tc>
          <w:tcPr>
            <w:tcW w:w="70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eastAsia="黑体" w:cs="Times New Roman"/>
                <w:b w:val="0"/>
                <w:bCs w:val="0"/>
                <w:color w:val="auto"/>
                <w:kern w:val="2"/>
                <w:sz w:val="24"/>
                <w:szCs w:val="24"/>
                <w:lang w:val="en-US" w:eastAsia="zh-CN" w:bidi="ar-SA"/>
              </w:rPr>
              <w:t>是否落实</w:t>
            </w:r>
          </w:p>
        </w:tc>
        <w:tc>
          <w:tcPr>
            <w:tcW w:w="190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sz w:val="24"/>
                <w:szCs w:val="24"/>
                <w:lang w:val="en-US" w:eastAsia="zh-CN"/>
              </w:rPr>
              <w:t>五、突出抓好科技设备赋能建设四、突出抓好外包外租等生产经营活动排查整治</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1.企业主要负责人要加大安全生产科技投入，推广应用先进适用安全生产工艺和技术装备,加快淘汰落后生产工艺和技术装备,推进矿山、建筑施工（含隧道施工）等高危行业“机械化换人、自动化减人”。</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4"/>
                <w:szCs w:val="24"/>
                <w:lang w:val="en-US" w:eastAsia="zh-CN"/>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2.推进矿山、危险化学品、烟花爆竹、涉爆粉尘、消防等重点行业领域安全风险预警监测系统建设，加快露天矿山边坡监测系统推广应用。</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3.建立完善隐患排查治理“一张网”信息化管理系统，每家企业每周必须登录“安全生产隐患排查数据库（以下简称数据库）”（数据库具体使用方法见附件3），将排查出的一般隐患、重大隐患在数据库按“隐患录入——及时整改——完成销号”三个步骤进行“闭环管理”，其中每个步骤原则上当天完成录入。</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eastAsia" w:ascii="Times New Roman" w:hAnsi="Times New Roman" w:eastAsia="仿宋_GB2312" w:cs="Times New Roman"/>
                <w:b/>
                <w:bCs/>
                <w:color w:val="auto"/>
                <w:kern w:val="2"/>
                <w:sz w:val="24"/>
                <w:szCs w:val="24"/>
                <w:vertAlign w:val="baseline"/>
                <w:lang w:val="en-US" w:eastAsia="zh-CN" w:bidi="ar-SA"/>
              </w:rPr>
              <w:t>六、突出抓好事故应急救援演练</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根据本行业领域事故特点，每年至少组织开展1次事故应急救援预案演练，每半年至少组织1次现场处置方案演练；高危行业领域以及人员密集场所经营单位至少每半年组织1次事故应急救援预案演练。</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演练实施要有方案、有脚本、有评估总结，通过演练不断修订完善应急预案，特别要让全体从业人员主动落实安全生产岗位责任，熟悉单位应急救援预案、熟知安全逃生出口（或避灾路线），熟练使用紧急避险设施，熟知岗位应急处置措施，切实提高从业人员应急避险意识和应急处置能力。</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任务</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要求</w:t>
            </w:r>
          </w:p>
        </w:tc>
        <w:tc>
          <w:tcPr>
            <w:tcW w:w="489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default" w:ascii="Times New Roman" w:hAnsi="Times New Roman" w:eastAsia="黑体" w:cs="Times New Roman"/>
                <w:b w:val="0"/>
                <w:bCs w:val="0"/>
                <w:color w:val="auto"/>
                <w:kern w:val="2"/>
                <w:sz w:val="24"/>
                <w:szCs w:val="24"/>
                <w:lang w:val="en-US" w:eastAsia="zh-CN" w:bidi="ar-SA"/>
              </w:rPr>
              <w:t>具体内容</w:t>
            </w:r>
          </w:p>
        </w:tc>
        <w:tc>
          <w:tcPr>
            <w:tcW w:w="70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是否落实</w:t>
            </w:r>
          </w:p>
        </w:tc>
        <w:tc>
          <w:tcPr>
            <w:tcW w:w="190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kern w:val="2"/>
                <w:sz w:val="24"/>
                <w:szCs w:val="24"/>
                <w:vertAlign w:val="baseline"/>
                <w:lang w:val="en-US" w:eastAsia="zh-CN" w:bidi="ar-SA"/>
              </w:rPr>
              <w:t>七、突出抓好党建引领安全生产工作六、</w:t>
            </w:r>
            <w:r>
              <w:rPr>
                <w:rFonts w:hint="default" w:ascii="Times New Roman" w:hAnsi="Times New Roman" w:eastAsia="仿宋_GB2312" w:cs="Times New Roman"/>
                <w:b/>
                <w:bCs/>
                <w:color w:val="auto"/>
                <w:sz w:val="24"/>
                <w:szCs w:val="24"/>
                <w:lang w:val="en-US" w:eastAsia="zh-CN"/>
              </w:rPr>
              <w:t>突出抓好事故应急救援演练</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建立有党组织的生产经营单位，企业主要负责人要支持推动建立“党建+安全生产”机制模式，在企业生产经营全过程开展党员“三带头”活动：“即党员带头抓安全生产、党员带头遵守安全规定、党员带头监督安全行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2.建立激励政策，推动将党员“三带头”工作开展情况，作为基层党组织和党员评优评先重要内容。</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bl>
    <w:p>
      <w:pPr>
        <w:pStyle w:val="10"/>
        <w:pageBreakBefore w:val="0"/>
        <w:kinsoku/>
        <w:wordWrap/>
        <w:overflowPunct/>
        <w:topLinePunct w:val="0"/>
        <w:bidi w:val="0"/>
        <w:spacing w:line="560" w:lineRule="exact"/>
        <w:rPr>
          <w:rFonts w:hint="default" w:ascii="Times New Roman" w:hAnsi="Times New Roman" w:cs="Times New Roman"/>
          <w:color w:val="auto"/>
          <w:lang w:val="en-US" w:eastAsia="zh-CN"/>
        </w:rPr>
        <w:sectPr>
          <w:footerReference r:id="rId4" w:type="default"/>
          <w:footerReference r:id="rId5" w:type="even"/>
          <w:pgSz w:w="11906" w:h="16838"/>
          <w:pgMar w:top="2098" w:right="1474" w:bottom="1984" w:left="1587" w:header="851" w:footer="992" w:gutter="0"/>
          <w:pgNumType w:fmt="decimal"/>
          <w:cols w:space="720" w:num="1"/>
          <w:rtlGutter w:val="0"/>
          <w:docGrid w:type="lines" w:linePitch="312" w:charSpace="0"/>
        </w:sectPr>
      </w:pPr>
    </w:p>
    <w:p>
      <w:p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富川瑶族自治县</w:t>
      </w:r>
      <w:r>
        <w:rPr>
          <w:rFonts w:hint="eastAsia" w:ascii="方正小标宋简体" w:hAnsi="方正小标宋简体" w:eastAsia="方正小标宋简体" w:cs="方正小标宋简体"/>
          <w:color w:val="000000"/>
          <w:sz w:val="44"/>
          <w:szCs w:val="44"/>
        </w:rPr>
        <w:t>自然资源领域安全生产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重点事项和整治要求</w:t>
      </w:r>
    </w:p>
    <w:tbl>
      <w:tblPr>
        <w:tblStyle w:val="6"/>
        <w:tblW w:w="964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7"/>
        <w:gridCol w:w="1378"/>
        <w:gridCol w:w="453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07" w:type="dxa"/>
            <w:noWrap w:val="0"/>
            <w:vAlign w:val="center"/>
          </w:tcPr>
          <w:p>
            <w:pPr>
              <w:widowControl/>
              <w:jc w:val="center"/>
              <w:rPr>
                <w:rFonts w:hint="default" w:ascii="Times New Roman" w:hAnsi="Times New Roman" w:eastAsia="仿宋_GB2312" w:cs="Times New Roman"/>
                <w:b/>
                <w:color w:val="000000"/>
                <w:kern w:val="0"/>
                <w:sz w:val="22"/>
                <w:szCs w:val="22"/>
              </w:rPr>
            </w:pPr>
            <w:r>
              <w:rPr>
                <w:rFonts w:hint="default" w:ascii="Times New Roman" w:hAnsi="Times New Roman" w:eastAsia="仿宋_GB2312" w:cs="Times New Roman"/>
                <w:b/>
                <w:color w:val="000000"/>
                <w:kern w:val="0"/>
                <w:sz w:val="22"/>
                <w:szCs w:val="22"/>
              </w:rPr>
              <w:t>序号</w:t>
            </w:r>
          </w:p>
        </w:tc>
        <w:tc>
          <w:tcPr>
            <w:tcW w:w="1378" w:type="dxa"/>
            <w:noWrap w:val="0"/>
            <w:vAlign w:val="center"/>
          </w:tcPr>
          <w:p>
            <w:pPr>
              <w:widowControl/>
              <w:jc w:val="center"/>
              <w:rPr>
                <w:rFonts w:hint="default" w:ascii="Times New Roman" w:hAnsi="Times New Roman" w:eastAsia="仿宋_GB2312" w:cs="Times New Roman"/>
                <w:b/>
                <w:color w:val="000000"/>
                <w:kern w:val="0"/>
                <w:sz w:val="22"/>
                <w:szCs w:val="22"/>
              </w:rPr>
            </w:pPr>
            <w:r>
              <w:rPr>
                <w:rFonts w:hint="default" w:ascii="Times New Roman" w:hAnsi="Times New Roman" w:eastAsia="仿宋_GB2312" w:cs="Times New Roman"/>
                <w:b/>
                <w:color w:val="000000"/>
                <w:kern w:val="0"/>
                <w:sz w:val="22"/>
                <w:szCs w:val="22"/>
              </w:rPr>
              <w:t>类别</w:t>
            </w:r>
          </w:p>
        </w:tc>
        <w:tc>
          <w:tcPr>
            <w:tcW w:w="4537" w:type="dxa"/>
            <w:noWrap w:val="0"/>
            <w:vAlign w:val="center"/>
          </w:tcPr>
          <w:p>
            <w:pPr>
              <w:widowControl/>
              <w:jc w:val="center"/>
              <w:rPr>
                <w:rFonts w:hint="default" w:ascii="Times New Roman" w:hAnsi="Times New Roman" w:eastAsia="仿宋_GB2312" w:cs="Times New Roman"/>
                <w:b/>
                <w:color w:val="000000"/>
                <w:kern w:val="0"/>
                <w:sz w:val="22"/>
                <w:szCs w:val="22"/>
              </w:rPr>
            </w:pPr>
            <w:r>
              <w:rPr>
                <w:rFonts w:hint="default" w:ascii="Times New Roman" w:hAnsi="Times New Roman" w:eastAsia="仿宋_GB2312" w:cs="Times New Roman"/>
                <w:b/>
                <w:color w:val="000000"/>
                <w:kern w:val="0"/>
                <w:sz w:val="22"/>
                <w:szCs w:val="22"/>
              </w:rPr>
              <w:t>排查整治重点事项</w:t>
            </w:r>
          </w:p>
        </w:tc>
        <w:tc>
          <w:tcPr>
            <w:tcW w:w="3119" w:type="dxa"/>
            <w:noWrap w:val="0"/>
            <w:vAlign w:val="center"/>
          </w:tcPr>
          <w:p>
            <w:pPr>
              <w:widowControl/>
              <w:jc w:val="center"/>
              <w:rPr>
                <w:rFonts w:hint="default" w:ascii="Times New Roman" w:hAnsi="Times New Roman" w:eastAsia="仿宋_GB2312" w:cs="Times New Roman"/>
                <w:b/>
                <w:color w:val="000000"/>
                <w:kern w:val="0"/>
                <w:sz w:val="22"/>
                <w:szCs w:val="22"/>
              </w:rPr>
            </w:pPr>
            <w:r>
              <w:rPr>
                <w:rFonts w:hint="default" w:ascii="Times New Roman" w:hAnsi="Times New Roman" w:eastAsia="仿宋_GB2312" w:cs="Times New Roman"/>
                <w:b/>
                <w:color w:val="000000"/>
                <w:kern w:val="0"/>
                <w:sz w:val="22"/>
                <w:szCs w:val="22"/>
              </w:rPr>
              <w:t>整治要求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废弃矿井专项整治方面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对未完成堵废弃矿井及时进行封堵</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全面完成废弃矿井封堵工作。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2"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已封堵废弃矿井是否存在被非法分子打开</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对被非法分子重新打开的废弃矿井进行封堵。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5"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未建立完善废弃矿井定期巡查检查制度</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建立完善废弃矿井定期巡查检查制度。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未按照制度开展巡查检查工作。</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严格按照制度执行巡查工作。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607"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w:t>
            </w:r>
          </w:p>
        </w:tc>
        <w:tc>
          <w:tcPr>
            <w:tcW w:w="1378"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 “半边山、一面墙”专项整治方面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 xml:space="preserve">采用工程治理方式的“半边山、一面墙”矿山未按照整治方案整治、未达到整治进度和要求。 </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会同应急部门督促矿山企业严格按照整治方案整治、且达到整治进度要求。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6"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非法盗采矿产资源方面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盗采矿产资源易发、多发区域。</w:t>
            </w:r>
          </w:p>
        </w:tc>
        <w:tc>
          <w:tcPr>
            <w:tcW w:w="31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1.依法对违法开采矿产资源行为进行查处；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2.制定定期巡查制度；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3.稀土盗采易发多发地区制定有奖举报制度。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7"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采用地下开采方式的矿山越界开采、露天开采矿山近5年来发生2次以上越界开采行为。</w:t>
            </w:r>
          </w:p>
        </w:tc>
        <w:tc>
          <w:tcPr>
            <w:tcW w:w="31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3"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工程治理项目方面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未经安全培训合格、未取得相关证书的人员的特种作业岗位上岗作业</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特种作业岗位人员均持相关证书上岗作业。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施工工程未设置脚手架连山件或连山件整层缺失。</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按照规范设置脚手架。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项目承担单位存在外包外租工程，承包承租方不具备安全生产条件或相应资质、安全生产管理职责不清、未与承包承租方签订安全生产管理协议、未在承包承租合同中对企业及承包承租方安全管理职责进行约定、安全生产管理协议或承包承租合同中免除或者转嫁企业安全生产工作统一协调管理义务、未定期对承包承租方进行安全检查、发现承包承租方存在安全问题未及时督促整改、未对现场安全情况进行安全确认。</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按规定完善工程治理项目外包外租制度。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9"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地质勘查行业方面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未经批准采用坑探方式勘查</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严格按照批准的勘查方式进行勘查作业。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井巷深(长)度大于7m，平硐长度大于20m时，未采用机械通风，或采用机械通风时风速、风量、风质不符合国家标准或者行业标准要求。</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通风工程符合国家标准或者行业标准要求。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支护体在坑口外长度小于1m，破碎、松软或者不稳定地层掘进未按设计及时支护。</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未按设计及时支护。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探槽实施过程中，探槽深度大于3m，槽底宽度小于0.6m，未规范设置两壁坡度。</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两壁坡度符合设计规范。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钻探工程施工时，机</w:t>
            </w:r>
            <w:r>
              <w:rPr>
                <w:rFonts w:hint="eastAsia" w:ascii="Times New Roman" w:hAnsi="Times New Roman" w:eastAsia="仿宋_GB2312" w:cs="Times New Roman"/>
                <w:color w:val="000000"/>
                <w:kern w:val="0"/>
                <w:sz w:val="22"/>
                <w:szCs w:val="22"/>
                <w:lang w:eastAsia="zh-CN"/>
              </w:rPr>
              <w:t>场</w:t>
            </w:r>
            <w:r>
              <w:rPr>
                <w:rFonts w:hint="default" w:ascii="Times New Roman" w:hAnsi="Times New Roman" w:eastAsia="仿宋_GB2312" w:cs="Times New Roman"/>
                <w:color w:val="000000"/>
                <w:kern w:val="0"/>
                <w:sz w:val="22"/>
                <w:szCs w:val="22"/>
              </w:rPr>
              <w:t>地基不稳固，边坡不稳定</w:t>
            </w:r>
          </w:p>
        </w:tc>
        <w:tc>
          <w:tcPr>
            <w:tcW w:w="3119"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合理选定机场位置，保持安全、稳定。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b/>
                <w:color w:val="000000"/>
                <w:kern w:val="0"/>
                <w:sz w:val="22"/>
                <w:szCs w:val="22"/>
              </w:rPr>
              <w:t>序号</w:t>
            </w:r>
          </w:p>
        </w:tc>
        <w:tc>
          <w:tcPr>
            <w:tcW w:w="1378"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b/>
                <w:color w:val="000000"/>
                <w:kern w:val="0"/>
                <w:sz w:val="22"/>
                <w:szCs w:val="22"/>
              </w:rPr>
              <w:t>类别</w:t>
            </w:r>
          </w:p>
        </w:tc>
        <w:tc>
          <w:tcPr>
            <w:tcW w:w="4537"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b/>
                <w:color w:val="000000"/>
                <w:kern w:val="0"/>
                <w:sz w:val="22"/>
                <w:szCs w:val="22"/>
              </w:rPr>
              <w:t>排查整治重点事项</w:t>
            </w:r>
          </w:p>
        </w:tc>
        <w:tc>
          <w:tcPr>
            <w:tcW w:w="3119"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b/>
                <w:color w:val="000000"/>
                <w:kern w:val="0"/>
                <w:sz w:val="22"/>
                <w:szCs w:val="22"/>
              </w:rPr>
              <w:t>整治要求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eastAsia" w:eastAsia="仿宋_GB2312" w:cs="Times New Roman"/>
                <w:color w:val="000000"/>
                <w:kern w:val="0"/>
                <w:sz w:val="22"/>
                <w:szCs w:val="22"/>
                <w:lang w:val="en-US" w:eastAsia="zh-CN"/>
              </w:rPr>
              <w:t>6</w:t>
            </w:r>
          </w:p>
        </w:tc>
        <w:tc>
          <w:tcPr>
            <w:tcW w:w="1378"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eastAsia" w:eastAsia="仿宋_GB2312" w:cs="Times New Roman"/>
                <w:color w:val="000000"/>
                <w:kern w:val="0"/>
                <w:sz w:val="22"/>
                <w:szCs w:val="22"/>
                <w:lang w:eastAsia="zh-CN"/>
              </w:rPr>
              <w:t>森林草原经营主体方面</w:t>
            </w:r>
          </w:p>
        </w:tc>
        <w:tc>
          <w:tcPr>
            <w:tcW w:w="4537"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督促森林草原经营主体行业做好林草安全生产工作</w:t>
            </w:r>
            <w:r>
              <w:rPr>
                <w:rFonts w:hint="eastAsia" w:eastAsia="仿宋_GB2312" w:cs="Times New Roman"/>
                <w:color w:val="000000"/>
                <w:kern w:val="0"/>
                <w:sz w:val="22"/>
                <w:szCs w:val="22"/>
                <w:lang w:val="en-US" w:eastAsia="zh-CN"/>
              </w:rPr>
              <w:t>。</w:t>
            </w:r>
          </w:p>
        </w:tc>
        <w:tc>
          <w:tcPr>
            <w:tcW w:w="3119"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制定本行业安全生产示范企业创建方案并组织实施</w:t>
            </w:r>
            <w:r>
              <w:rPr>
                <w:rFonts w:hint="eastAsia" w:eastAsia="仿宋_GB2312" w:cs="Times New Roman"/>
                <w:color w:val="000000"/>
                <w:kern w:val="0"/>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eastAsia" w:eastAsia="仿宋_GB2312" w:cs="Times New Roman"/>
                <w:color w:val="000000"/>
                <w:kern w:val="0"/>
                <w:sz w:val="22"/>
                <w:szCs w:val="22"/>
                <w:lang w:val="en-US" w:eastAsia="zh-CN"/>
              </w:rPr>
              <w:t>7</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eastAsia" w:eastAsia="仿宋_GB2312" w:cs="Times New Roman"/>
                <w:color w:val="000000"/>
                <w:kern w:val="0"/>
                <w:sz w:val="22"/>
                <w:szCs w:val="22"/>
                <w:lang w:val="en-US" w:eastAsia="zh-CN"/>
              </w:rPr>
              <w:t>矿山企业安全生产管理方面</w:t>
            </w:r>
          </w:p>
        </w:tc>
        <w:tc>
          <w:tcPr>
            <w:tcW w:w="4537"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矿山企业是否把各类安全隐患整改到位，确保期间全县矿山安全生产。</w:t>
            </w:r>
          </w:p>
        </w:tc>
        <w:tc>
          <w:tcPr>
            <w:tcW w:w="3119"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会同应急部门督促矿山企业</w:t>
            </w:r>
            <w:r>
              <w:rPr>
                <w:rFonts w:hint="default" w:ascii="Times New Roman" w:hAnsi="Times New Roman" w:eastAsia="仿宋_GB2312" w:cs="Times New Roman"/>
                <w:color w:val="000000"/>
                <w:kern w:val="0"/>
                <w:sz w:val="22"/>
                <w:szCs w:val="22"/>
                <w:lang w:val="en-US" w:eastAsia="zh-CN"/>
              </w:rPr>
              <w:t>把各类安全隐患整改到位</w:t>
            </w:r>
            <w:r>
              <w:rPr>
                <w:rFonts w:hint="default" w:ascii="Times New Roman" w:hAnsi="Times New Roman" w:eastAsia="仿宋_GB2312" w:cs="Times New Roman"/>
                <w:color w:val="000000"/>
                <w:kern w:val="0"/>
                <w:sz w:val="22"/>
                <w:szCs w:val="22"/>
              </w:rPr>
              <w:t>、且</w:t>
            </w:r>
            <w:r>
              <w:rPr>
                <w:rFonts w:hint="default" w:ascii="Times New Roman" w:hAnsi="Times New Roman" w:eastAsia="仿宋_GB2312" w:cs="Times New Roman"/>
                <w:color w:val="000000"/>
                <w:kern w:val="0"/>
                <w:sz w:val="22"/>
                <w:szCs w:val="22"/>
                <w:lang w:val="en-US" w:eastAsia="zh-CN"/>
              </w:rPr>
              <w:t>确保期间全县矿山安全生产</w:t>
            </w:r>
            <w:r>
              <w:rPr>
                <w:rFonts w:hint="default" w:ascii="Times New Roman" w:hAnsi="Times New Roman" w:eastAsia="仿宋_GB2312" w:cs="Times New Roman"/>
                <w:color w:val="000000"/>
                <w:kern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抓好全员安全生产责任落实到岗到人到位。</w:t>
            </w:r>
          </w:p>
        </w:tc>
        <w:tc>
          <w:tcPr>
            <w:tcW w:w="3119"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督促</w:t>
            </w:r>
            <w:r>
              <w:rPr>
                <w:rFonts w:hint="eastAsia" w:eastAsia="仿宋_GB2312" w:cs="Times New Roman"/>
                <w:color w:val="000000"/>
                <w:kern w:val="0"/>
                <w:sz w:val="22"/>
                <w:szCs w:val="22"/>
                <w:lang w:eastAsia="zh-CN"/>
              </w:rPr>
              <w:t>企业</w:t>
            </w:r>
            <w:r>
              <w:rPr>
                <w:rFonts w:hint="default" w:ascii="Times New Roman" w:hAnsi="Times New Roman" w:eastAsia="仿宋_GB2312" w:cs="Times New Roman"/>
                <w:color w:val="000000"/>
                <w:kern w:val="0"/>
                <w:sz w:val="22"/>
                <w:szCs w:val="22"/>
              </w:rPr>
              <w:t>建立建全安全管理制度，并</w:t>
            </w:r>
            <w:r>
              <w:rPr>
                <w:rFonts w:hint="eastAsia" w:eastAsia="仿宋_GB2312" w:cs="Times New Roman"/>
                <w:color w:val="000000"/>
                <w:kern w:val="0"/>
                <w:sz w:val="22"/>
                <w:szCs w:val="22"/>
                <w:lang w:eastAsia="zh-CN"/>
              </w:rPr>
              <w:t>组织</w:t>
            </w:r>
            <w:r>
              <w:rPr>
                <w:rFonts w:hint="default" w:ascii="Times New Roman" w:hAnsi="Times New Roman" w:eastAsia="仿宋_GB2312" w:cs="Times New Roman"/>
                <w:color w:val="000000"/>
                <w:kern w:val="0"/>
                <w:sz w:val="22"/>
                <w:szCs w:val="22"/>
              </w:rPr>
              <w:t>落实</w:t>
            </w:r>
            <w:r>
              <w:rPr>
                <w:rFonts w:hint="eastAsia" w:eastAsia="仿宋_GB2312" w:cs="Times New Roman"/>
                <w:color w:val="000000"/>
                <w:kern w:val="0"/>
                <w:sz w:val="22"/>
                <w:szCs w:val="22"/>
                <w:lang w:eastAsia="zh-CN"/>
              </w:rPr>
              <w:t>。</w:t>
            </w:r>
          </w:p>
        </w:tc>
      </w:tr>
    </w:tbl>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pStyle w:val="2"/>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pStyle w:val="2"/>
        <w:rPr>
          <w:rFonts w:hint="default" w:ascii="Times New Roman" w:hAnsi="Times New Roman" w:cs="Times New Roman"/>
          <w:color w:val="000000"/>
          <w:sz w:val="32"/>
          <w:szCs w:val="32"/>
        </w:rPr>
      </w:pPr>
    </w:p>
    <w:p>
      <w:pPr>
        <w:rPr>
          <w:rFonts w:hint="default" w:ascii="Times New Roman" w:hAnsi="Times New Roman" w:eastAsia="宋体" w:cs="Times New Roman"/>
          <w:color w:val="000000"/>
          <w:sz w:val="32"/>
          <w:szCs w:val="32"/>
        </w:rPr>
      </w:pPr>
    </w:p>
    <w:p>
      <w:pPr>
        <w:rPr>
          <w:rFonts w:hint="default" w:ascii="Times New Roman" w:hAnsi="Times New Roman" w:eastAsia="宋体" w:cs="Times New Roman"/>
          <w:color w:val="000000"/>
          <w:sz w:val="32"/>
          <w:szCs w:val="32"/>
        </w:rPr>
      </w:pPr>
    </w:p>
    <w:p>
      <w:pPr>
        <w:rPr>
          <w:rFonts w:hint="default" w:ascii="Times New Roman" w:hAnsi="Times New Roman" w:eastAsia="宋体" w:cs="Times New Roman"/>
          <w:color w:val="000000"/>
          <w:sz w:val="32"/>
          <w:szCs w:val="32"/>
        </w:rPr>
      </w:pPr>
    </w:p>
    <w:p>
      <w:pPr>
        <w:rPr>
          <w:rFonts w:hint="default" w:ascii="Times New Roman" w:hAnsi="Times New Roman" w:eastAsia="宋体" w:cs="Times New Roman"/>
          <w:color w:val="000000"/>
          <w:sz w:val="32"/>
          <w:szCs w:val="32"/>
        </w:rPr>
      </w:pPr>
    </w:p>
    <w:p>
      <w:pPr>
        <w:rPr>
          <w:rFonts w:hint="default" w:ascii="Times New Roman" w:hAnsi="Times New Roman" w:cs="Times New Roman"/>
          <w:color w:val="000000"/>
          <w:sz w:val="32"/>
          <w:szCs w:val="32"/>
        </w:rPr>
      </w:pPr>
    </w:p>
    <w:p>
      <w:pPr>
        <w:pStyle w:val="2"/>
        <w:rPr>
          <w:rFonts w:hint="default" w:ascii="Times New Roman" w:hAnsi="Times New Roman" w:eastAsia="宋体" w:cs="Times New Roman"/>
          <w:color w:val="000000"/>
          <w:sz w:val="32"/>
          <w:szCs w:val="32"/>
        </w:rPr>
      </w:pPr>
    </w:p>
    <w:p>
      <w:pPr>
        <w:pStyle w:val="2"/>
        <w:rPr>
          <w:rFonts w:hint="default" w:ascii="Times New Roman" w:hAnsi="Times New Roman" w:eastAsia="宋体" w:cs="Times New Roman"/>
          <w:color w:val="000000"/>
          <w:sz w:val="32"/>
          <w:szCs w:val="32"/>
        </w:rPr>
      </w:pPr>
    </w:p>
    <w:p>
      <w:pPr>
        <w:pStyle w:val="2"/>
        <w:rPr>
          <w:rFonts w:hint="default"/>
        </w:rPr>
      </w:pPr>
    </w:p>
    <w:p>
      <w:pPr>
        <w:rPr>
          <w:rFonts w:hint="default"/>
        </w:rPr>
      </w:pPr>
    </w:p>
    <w:p>
      <w:pPr>
        <w:pStyle w:val="2"/>
        <w:rPr>
          <w:rFonts w:hint="default"/>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7</w:t>
      </w:r>
    </w:p>
    <w:p>
      <w:pPr>
        <w:spacing w:line="560" w:lineRule="exact"/>
        <w:ind w:left="-283" w:leftChars="-135" w:right="-227" w:rightChars="-108"/>
        <w:jc w:val="center"/>
        <w:rPr>
          <w:rFonts w:hint="default" w:ascii="Times New Roman" w:hAnsi="Times New Roman" w:eastAsia="方正小标宋简体" w:cs="Times New Roman"/>
          <w:color w:val="000000"/>
          <w:sz w:val="44"/>
          <w:szCs w:val="44"/>
        </w:rPr>
      </w:pPr>
      <w:r>
        <w:rPr>
          <w:rFonts w:hint="eastAsia" w:eastAsia="方正小标宋简体" w:cs="Times New Roman"/>
          <w:color w:val="000000"/>
          <w:sz w:val="44"/>
          <w:szCs w:val="44"/>
          <w:lang w:eastAsia="zh-CN"/>
        </w:rPr>
        <w:t>富川瑶族自治县</w:t>
      </w:r>
      <w:r>
        <w:rPr>
          <w:rFonts w:hint="default" w:ascii="Times New Roman" w:hAnsi="Times New Roman" w:eastAsia="方正小标宋简体" w:cs="Times New Roman"/>
          <w:color w:val="000000"/>
          <w:sz w:val="44"/>
          <w:szCs w:val="44"/>
        </w:rPr>
        <w:t>自然资源领域安全生产重点</w:t>
      </w:r>
    </w:p>
    <w:p>
      <w:pPr>
        <w:spacing w:line="560" w:lineRule="exact"/>
        <w:ind w:left="-283" w:leftChars="-135" w:right="-227" w:rightChars="-108"/>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事项排查整治汇总表</w:t>
      </w:r>
    </w:p>
    <w:tbl>
      <w:tblPr>
        <w:tblStyle w:val="6"/>
        <w:tblW w:w="0" w:type="auto"/>
        <w:jc w:val="center"/>
        <w:tblLayout w:type="fixed"/>
        <w:tblCellMar>
          <w:top w:w="0" w:type="dxa"/>
          <w:left w:w="108" w:type="dxa"/>
          <w:bottom w:w="0" w:type="dxa"/>
          <w:right w:w="108" w:type="dxa"/>
        </w:tblCellMar>
      </w:tblPr>
      <w:tblGrid>
        <w:gridCol w:w="554"/>
        <w:gridCol w:w="1575"/>
        <w:gridCol w:w="711"/>
        <w:gridCol w:w="784"/>
        <w:gridCol w:w="1023"/>
        <w:gridCol w:w="1023"/>
        <w:gridCol w:w="921"/>
        <w:gridCol w:w="710"/>
        <w:gridCol w:w="1439"/>
        <w:gridCol w:w="540"/>
      </w:tblGrid>
      <w:tr>
        <w:tblPrEx>
          <w:tblCellMar>
            <w:top w:w="0" w:type="dxa"/>
            <w:left w:w="108" w:type="dxa"/>
            <w:bottom w:w="0" w:type="dxa"/>
            <w:right w:w="108" w:type="dxa"/>
          </w:tblCellMar>
        </w:tblPrEx>
        <w:trPr>
          <w:trHeight w:val="313"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类别</w:t>
            </w:r>
          </w:p>
        </w:tc>
        <w:tc>
          <w:tcPr>
            <w:tcW w:w="715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重点事项排查整治情况</w:t>
            </w:r>
          </w:p>
        </w:tc>
      </w:tr>
      <w:tr>
        <w:tblPrEx>
          <w:tblCellMar>
            <w:top w:w="0" w:type="dxa"/>
            <w:left w:w="108" w:type="dxa"/>
            <w:bottom w:w="0" w:type="dxa"/>
            <w:right w:w="108" w:type="dxa"/>
          </w:tblCellMar>
        </w:tblPrEx>
        <w:trPr>
          <w:trHeight w:val="615"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b/>
                <w:color w:val="000000"/>
                <w:sz w:val="24"/>
                <w:szCs w:val="24"/>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b/>
                <w:color w:val="000000"/>
                <w:sz w:val="24"/>
                <w:szCs w:val="24"/>
              </w:rPr>
            </w:pPr>
          </w:p>
        </w:tc>
        <w:tc>
          <w:tcPr>
            <w:tcW w:w="14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重点事项情况</w:t>
            </w:r>
          </w:p>
        </w:tc>
        <w:tc>
          <w:tcPr>
            <w:tcW w:w="565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执法情况</w:t>
            </w:r>
          </w:p>
        </w:tc>
      </w:tr>
      <w:tr>
        <w:tblPrEx>
          <w:tblCellMar>
            <w:top w:w="0" w:type="dxa"/>
            <w:left w:w="108" w:type="dxa"/>
            <w:bottom w:w="0" w:type="dxa"/>
            <w:right w:w="108" w:type="dxa"/>
          </w:tblCellMar>
        </w:tblPrEx>
        <w:trPr>
          <w:trHeight w:val="1731"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b/>
                <w:color w:val="000000"/>
                <w:sz w:val="24"/>
                <w:szCs w:val="24"/>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b/>
                <w:color w:val="000000"/>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已发现（</w:t>
            </w:r>
            <w:r>
              <w:rPr>
                <w:rStyle w:val="13"/>
                <w:rFonts w:hint="default" w:ascii="Times New Roman" w:hAnsi="Times New Roman" w:cs="Times New Roman"/>
                <w:lang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已整改（</w:t>
            </w:r>
            <w:r>
              <w:rPr>
                <w:rStyle w:val="13"/>
                <w:rFonts w:hint="default" w:ascii="Times New Roman" w:hAnsi="Times New Roman" w:cs="Times New Roman"/>
                <w:lang w:bidi="ar"/>
              </w:rPr>
              <w:t>项）</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立案查处（是/否）</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没收违法开采矿产品（吨）</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没收违法所得（万元）</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罚款（万元）</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移送司法机关追究刑事责任人员数量（人）</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是否结案</w:t>
            </w:r>
          </w:p>
        </w:tc>
      </w:tr>
      <w:tr>
        <w:tblPrEx>
          <w:tblCellMar>
            <w:top w:w="0" w:type="dxa"/>
            <w:left w:w="108" w:type="dxa"/>
            <w:bottom w:w="0" w:type="dxa"/>
            <w:right w:w="108" w:type="dxa"/>
          </w:tblCellMar>
        </w:tblPrEx>
        <w:trPr>
          <w:trHeight w:val="839"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废弃矿井专项整治方面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r>
        <w:tblPrEx>
          <w:tblCellMar>
            <w:top w:w="0" w:type="dxa"/>
            <w:left w:w="108" w:type="dxa"/>
            <w:bottom w:w="0" w:type="dxa"/>
            <w:right w:w="108" w:type="dxa"/>
          </w:tblCellMar>
        </w:tblPrEx>
        <w:trPr>
          <w:trHeight w:val="105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“半边山、一面墙”专项整治方面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r>
        <w:tblPrEx>
          <w:tblCellMar>
            <w:top w:w="0" w:type="dxa"/>
            <w:left w:w="108" w:type="dxa"/>
            <w:bottom w:w="0" w:type="dxa"/>
            <w:right w:w="108" w:type="dxa"/>
          </w:tblCellMar>
        </w:tblPrEx>
        <w:trPr>
          <w:trHeight w:val="839"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非法盗采矿产资源方面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615"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工程治理项目方面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r>
        <w:tblPrEx>
          <w:tblCellMar>
            <w:top w:w="0" w:type="dxa"/>
            <w:left w:w="108" w:type="dxa"/>
            <w:bottom w:w="0" w:type="dxa"/>
            <w:right w:w="108" w:type="dxa"/>
          </w:tblCellMar>
        </w:tblPrEx>
        <w:trPr>
          <w:trHeight w:val="615"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地质勘查行业方面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r>
        <w:tblPrEx>
          <w:tblCellMar>
            <w:top w:w="0" w:type="dxa"/>
            <w:left w:w="108" w:type="dxa"/>
            <w:bottom w:w="0" w:type="dxa"/>
            <w:right w:w="108" w:type="dxa"/>
          </w:tblCellMar>
        </w:tblPrEx>
        <w:trPr>
          <w:trHeight w:val="573"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测绘行业方面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bl>
    <w:p>
      <w:pPr>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填写说明：1. 废弃矿井专项整治方面。已封堵废弃矿井重新解封、应封堵废弃矿井未及时进行封堵、未建立完善废弃矿井定期巡查检查制度、未严格按照制度开展巡查检查工作，填写重点事项4项，已完成的填写“—”。</w:t>
      </w:r>
    </w:p>
    <w:p>
      <w:pPr>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r>
        <w:rPr>
          <w:rFonts w:hint="default" w:ascii="Times New Roman" w:hAnsi="Times New Roman" w:eastAsia="仿宋_GB2312" w:cs="Times New Roman"/>
          <w:color w:val="000000"/>
          <w:kern w:val="0"/>
          <w:sz w:val="22"/>
          <w:szCs w:val="22"/>
        </w:rPr>
        <w:t xml:space="preserve"> “半边山、一面墙”专项整治方面。发现1起采用工程治理方式的“半边山、一面墙”矿山未按照整治方案整治或未达到整治进度的，填写重点事项1项。</w:t>
      </w:r>
    </w:p>
    <w:p>
      <w:pPr>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 非法盗采矿产资源方面。发现1个盗采矿产资源易发、多发区域，填写重点事项1项；发现1起地下开采方式矿山越界开采或近5年来发生2次及以上的露天矿山越界开采，填写重点事项1项，未发现填写“—”。</w:t>
      </w:r>
    </w:p>
    <w:p>
      <w:pPr>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 工程治理项目方面、地质勘查行业方面、测绘行业方面。每发现1个问题，填写重点事项1项。</w:t>
      </w:r>
    </w:p>
    <w:p>
      <w:pPr>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rPr>
      </w:pPr>
    </w:p>
    <w:p>
      <w:p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8</w:t>
      </w:r>
    </w:p>
    <w:p>
      <w:pPr>
        <w:spacing w:line="560" w:lineRule="exact"/>
        <w:ind w:left="-283" w:leftChars="-135" w:right="-227" w:rightChars="-108"/>
        <w:jc w:val="center"/>
        <w:rPr>
          <w:rFonts w:hint="default" w:ascii="Times New Roman" w:hAnsi="Times New Roman" w:eastAsia="方正小标宋简体" w:cs="Times New Roman"/>
          <w:color w:val="000000"/>
          <w:sz w:val="44"/>
          <w:szCs w:val="44"/>
        </w:rPr>
      </w:pPr>
      <w:r>
        <w:rPr>
          <w:rFonts w:hint="eastAsia" w:eastAsia="方正小标宋简体" w:cs="Times New Roman"/>
          <w:color w:val="000000"/>
          <w:sz w:val="44"/>
          <w:szCs w:val="44"/>
          <w:lang w:eastAsia="zh-CN"/>
        </w:rPr>
        <w:t>富川瑶族自治县</w:t>
      </w:r>
      <w:r>
        <w:rPr>
          <w:rFonts w:hint="default" w:ascii="Times New Roman" w:hAnsi="Times New Roman" w:eastAsia="方正小标宋简体" w:cs="Times New Roman"/>
          <w:color w:val="000000"/>
          <w:sz w:val="44"/>
          <w:szCs w:val="44"/>
        </w:rPr>
        <w:t>自然资源领域安全生产重点</w:t>
      </w:r>
    </w:p>
    <w:p>
      <w:pPr>
        <w:spacing w:line="560" w:lineRule="exact"/>
        <w:ind w:left="-283" w:leftChars="-135" w:right="-227" w:rightChars="-108"/>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事项排查整治明细表</w:t>
      </w:r>
    </w:p>
    <w:tbl>
      <w:tblPr>
        <w:tblStyle w:val="6"/>
        <w:tblW w:w="0" w:type="auto"/>
        <w:tblInd w:w="0" w:type="dxa"/>
        <w:tblLayout w:type="fixed"/>
        <w:tblCellMar>
          <w:top w:w="0" w:type="dxa"/>
          <w:left w:w="108" w:type="dxa"/>
          <w:bottom w:w="0" w:type="dxa"/>
          <w:right w:w="108" w:type="dxa"/>
        </w:tblCellMar>
      </w:tblPr>
      <w:tblGrid>
        <w:gridCol w:w="401"/>
        <w:gridCol w:w="983"/>
        <w:gridCol w:w="3027"/>
        <w:gridCol w:w="2643"/>
        <w:gridCol w:w="851"/>
        <w:gridCol w:w="738"/>
        <w:gridCol w:w="417"/>
      </w:tblGrid>
      <w:tr>
        <w:tblPrEx>
          <w:tblCellMar>
            <w:top w:w="0" w:type="dxa"/>
            <w:left w:w="108" w:type="dxa"/>
            <w:bottom w:w="0" w:type="dxa"/>
            <w:right w:w="108" w:type="dxa"/>
          </w:tblCellMar>
        </w:tblPrEx>
        <w:trPr>
          <w:trHeight w:val="570" w:hRule="atLeast"/>
        </w:trPr>
        <w:tc>
          <w:tcPr>
            <w:tcW w:w="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序号</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类别</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排查整治重点事项</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具体问题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整治措施</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整治进展</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备注</w:t>
            </w:r>
          </w:p>
        </w:tc>
      </w:tr>
      <w:tr>
        <w:tblPrEx>
          <w:tblCellMar>
            <w:top w:w="0" w:type="dxa"/>
            <w:left w:w="108" w:type="dxa"/>
            <w:bottom w:w="0" w:type="dxa"/>
            <w:right w:w="108" w:type="dxa"/>
          </w:tblCellMar>
        </w:tblPrEx>
        <w:trPr>
          <w:cantSplit/>
          <w:trHeight w:val="540"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废弃矿井专项整治方面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对未完成堵废弃矿井及时进行封堵。</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示例：我市发现共有**个废弃矿井被重新打开。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786"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已封堵废弃矿井是否存在被非法分子打开。</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示例：我市共有废弃矿井**个，已完成**个，未完成**个。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7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未建立完善废弃矿井定期巡查检查制度。</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示例：我市未建立完善废弃矿井定期巡查检查制度。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7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未按照制度开展巡查检查工作。</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示例：我市未严格按照制度开展巡查检查工作。</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trHeight w:val="255" w:hRule="atLeast"/>
        </w:trPr>
        <w:tc>
          <w:tcPr>
            <w:tcW w:w="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w:t>
            </w:r>
            <w:r>
              <w:rPr>
                <w:rFonts w:hint="default" w:ascii="Times New Roman" w:hAnsi="Times New Roman" w:eastAsia="仿宋_GB2312" w:cs="Times New Roman"/>
                <w:color w:val="000000"/>
                <w:kern w:val="0"/>
                <w:sz w:val="22"/>
                <w:szCs w:val="22"/>
              </w:rPr>
              <w:t>“半边山、一面墙”专项整治方面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 xml:space="preserve">采用工程治理方式的“半边山、一面墙”矿山未按照整治方案整治、未达到整治进度和要求。 </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r>
              <w:rPr>
                <w:rFonts w:hint="default" w:ascii="Times New Roman" w:hAnsi="Times New Roman" w:eastAsia="仿宋_GB2312" w:cs="Times New Roman"/>
                <w:color w:val="000000"/>
                <w:kern w:val="0"/>
                <w:sz w:val="22"/>
                <w:szCs w:val="22"/>
              </w:rPr>
              <w:t>示例：我市共有**个“半边山、一面墙”矿山未按照整治方案整治，其中未达到整治进度和要求**座。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55"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非法盗采矿产资源方面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盗采矿产资源易发、多发区域。</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w:t>
            </w:r>
            <w:r>
              <w:rPr>
                <w:rFonts w:hint="eastAsia" w:eastAsia="仿宋_GB2312" w:cs="Times New Roman"/>
                <w:color w:val="000000"/>
                <w:kern w:val="0"/>
                <w:sz w:val="22"/>
                <w:szCs w:val="22"/>
                <w:lang w:eastAsia="zh-CN"/>
              </w:rPr>
              <w:t>县</w:t>
            </w:r>
            <w:r>
              <w:rPr>
                <w:rFonts w:hint="default" w:ascii="Times New Roman" w:hAnsi="Times New Roman" w:eastAsia="仿宋_GB2312" w:cs="Times New Roman"/>
                <w:color w:val="000000"/>
                <w:kern w:val="0"/>
                <w:sz w:val="22"/>
                <w:szCs w:val="22"/>
              </w:rPr>
              <w:t>**存在盗采矿产资源易发、多发</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8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采用地下开采方式的矿山越界开采、露天开采矿山近5年来发生2次以上越界开采行为。</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示例：1.排查发现**地采矿山越界开采。</w:t>
            </w:r>
          </w:p>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2.排查发现**矿山5年内发生3次越界开采行为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1796"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工程治理项目方面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未经安全培训合格、未取得相关证书的人员的特种作业岗位上岗作业。</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示例：排查发现**项目**人未持特种作业相关证书上岗作业。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5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施工工程未设置脚手架连山件或连山件整层缺失。</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示例：排查发现**项目未设置脚手架连山件或连山件整层缺失。</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97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项目承担单位存在外包外租工程，承包承租方不具备安全生产条件或相应资质、安全生产管理职责不清、未与承包承租方签订安全生产管理协议、未在承包承租合同中对企业及承包承租方安全管理职责进行约定、安全生产管理协议或承包承租合同中免除或者转嫁企业安全生产工作统一协调管理义务、未定期对承包承租方进行安全检查、发现承包承租方存在安全问题未及时督促整改、未对现场安全情况进行安全确认。</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示例：排查发现**项目未按规定外包外租工程。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70"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地质勘查行业方面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未经批准采用坑探方式勘查</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示例：排查发现**项目未经批准采用坑探方式勘查。</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11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井巷深(长)度大于7m，平硐长度大于20m时，未采用机械通风，或采用机械通风时风速、风量、风质不符合国家标准或者行业标准要求。</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示例：排查发现**项目通风未符合国家标准或者行业标准要求。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87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支护体在坑口外长度小于1m，破碎、松软或者不稳定地层掘进未按设计及时支护。</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示例：排查发现**项目未按设计及时支护。</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8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探槽实施过程中，探槽深度大于3m，槽底宽度小于0.6m，未规范设置两壁坡度。</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示例：排查发现**项目探槽未规范设置两壁坡度。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5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钻探工程施工时，机</w:t>
            </w:r>
            <w:r>
              <w:rPr>
                <w:rFonts w:hint="eastAsia" w:ascii="仿宋_GB2312" w:hAnsi="仿宋_GB2312" w:eastAsia="仿宋_GB2312" w:cs="仿宋_GB2312"/>
                <w:color w:val="000000"/>
                <w:sz w:val="22"/>
                <w:szCs w:val="22"/>
                <w:lang w:eastAsia="zh-CN"/>
              </w:rPr>
              <w:t>场</w:t>
            </w:r>
            <w:r>
              <w:rPr>
                <w:rFonts w:hint="default" w:ascii="仿宋_GB2312" w:hAnsi="仿宋_GB2312" w:eastAsia="仿宋_GB2312" w:cs="仿宋_GB2312"/>
                <w:color w:val="000000"/>
                <w:sz w:val="22"/>
                <w:szCs w:val="22"/>
                <w:lang w:eastAsia="zh-CN"/>
              </w:rPr>
              <w:t>地基不稳固，边坡不稳定</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示例：排查发现**项目机</w:t>
            </w:r>
            <w:r>
              <w:rPr>
                <w:rFonts w:hint="eastAsia" w:ascii="Times New Roman" w:hAnsi="Times New Roman" w:eastAsia="仿宋_GB2312" w:cs="Times New Roman"/>
                <w:color w:val="000000"/>
                <w:kern w:val="0"/>
                <w:sz w:val="22"/>
                <w:szCs w:val="22"/>
                <w:lang w:eastAsia="zh-CN"/>
              </w:rPr>
              <w:t>场</w:t>
            </w:r>
            <w:r>
              <w:rPr>
                <w:rFonts w:hint="default" w:ascii="Times New Roman" w:hAnsi="Times New Roman" w:eastAsia="仿宋_GB2312" w:cs="Times New Roman"/>
                <w:color w:val="000000"/>
                <w:kern w:val="0"/>
                <w:sz w:val="22"/>
                <w:szCs w:val="22"/>
              </w:rPr>
              <w:t>设置不符合安全要求。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570"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测绘行业方面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人数超过15人的办公场所，生产单位未健全安全生产管理制度。</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示例：排查发现**单位办公场所共有**人，未健全安全生产管理制度。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03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测绘项目作业人员前往人烟稀少山区、水上作业，未制定突发事件救援办法。</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示例：排查发现**单位派出人员前往**人烟稀少山区、水上作业，未制定突发事件救援办法。</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bl>
    <w:p>
      <w:bookmarkStart w:id="1" w:name="_GoBack"/>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5393055</wp:posOffset>
              </wp:positionH>
              <wp:positionV relativeFrom="paragraph">
                <wp:posOffset>0</wp:posOffset>
              </wp:positionV>
              <wp:extent cx="29527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95275" cy="1828800"/>
                      </a:xfrm>
                      <a:prstGeom prst="rect">
                        <a:avLst/>
                      </a:prstGeom>
                      <a:noFill/>
                      <a:ln>
                        <a:noFill/>
                      </a:ln>
                    </wps:spPr>
                    <wps:txbx>
                      <w:txbxContent>
                        <w:p>
                          <w:pPr>
                            <w:pStyle w:val="2"/>
                          </w:pPr>
                        </w:p>
                      </w:txbxContent>
                    </wps:txbx>
                    <wps:bodyPr lIns="0" tIns="0" rIns="0" bIns="0" upright="0">
                      <a:spAutoFit/>
                    </wps:bodyPr>
                  </wps:wsp>
                </a:graphicData>
              </a:graphic>
            </wp:anchor>
          </w:drawing>
        </mc:Choice>
        <mc:Fallback>
          <w:pict>
            <v:shape id="_x0000_s1026" o:spid="_x0000_s1026" o:spt="202" type="#_x0000_t202" style="position:absolute;left:0pt;margin-left:424.65pt;margin-top:0pt;height:144pt;width:23.25pt;mso-position-horizontal-relative:margin;z-index:251661312;mso-width-relative:page;mso-height-relative:page;" filled="f" stroked="f" coordsize="21600,21600" o:gfxdata="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LG9k3VAAAACAEAAA8AAAAAAAAAAQAgAAAAIgAAAGRycy9kb3ducmV2&#10;LnhtbFBLAQIUABQAAAAIAIdO4kCMorv7xgEAAIwDAAAOAAAAAAAAAAEAIAAAACQBAABkcnMvZTJv&#10;RG9jLnhtbFBLBQYAAAAABgAGAFkBAABcBQAAAAA=&#10;">
              <v:fill on="f" focussize="0,0"/>
              <v:stroke on="f"/>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5185410</wp:posOffset>
              </wp:positionH>
              <wp:positionV relativeFrom="paragraph">
                <wp:posOffset>-63500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08.3pt;margin-top:-5pt;height:144pt;width:144pt;mso-position-horizontal-relative:margin;mso-wrap-style:none;z-index:251659264;mso-width-relative:page;mso-height-relative:page;" filled="f" stroked="f" coordsize="21600,21600" o:gfxdata="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LEctgAAAAMAQAADwAAAAAAAAABACAAAAAi&#10;AAAAZHJzL2Rvd25yZXYueG1sUEsBAhQAFAAAAAgAh07iQLG46YzRAQAAogMAAA4AAAAAAAAAAQAg&#10;AAAAJwEAAGRycy9lMm9Eb2MueG1sUEsFBgAAAAAGAAYAWQEAAGo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5393055</wp:posOffset>
              </wp:positionH>
              <wp:positionV relativeFrom="paragraph">
                <wp:posOffset>0</wp:posOffset>
              </wp:positionV>
              <wp:extent cx="29527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95275" cy="1828800"/>
                      </a:xfrm>
                      <a:prstGeom prst="rect">
                        <a:avLst/>
                      </a:prstGeom>
                      <a:noFill/>
                      <a:ln>
                        <a:noFill/>
                      </a:ln>
                    </wps:spPr>
                    <wps:txbx>
                      <w:txbxContent>
                        <w:p>
                          <w:pPr>
                            <w:pStyle w:val="2"/>
                          </w:pPr>
                        </w:p>
                      </w:txbxContent>
                    </wps:txbx>
                    <wps:bodyPr lIns="0" tIns="0" rIns="0" bIns="0" upright="0">
                      <a:spAutoFit/>
                    </wps:bodyPr>
                  </wps:wsp>
                </a:graphicData>
              </a:graphic>
            </wp:anchor>
          </w:drawing>
        </mc:Choice>
        <mc:Fallback>
          <w:pict>
            <v:shape id="_x0000_s1026" o:spid="_x0000_s1026" o:spt="202" type="#_x0000_t202" style="position:absolute;left:0pt;margin-left:424.65pt;margin-top:0pt;height:144pt;width:23.25pt;mso-position-horizontal-relative:margin;z-index:251661312;mso-width-relative:page;mso-height-relative:page;" filled="f" stroked="f" coordsize="21600,21600" o:gfxdata="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LG9k3VAAAACAEAAA8AAAAAAAAAAQAgAAAAIgAAAGRycy9kb3ducmV2&#10;LnhtbFBLAQIUABQAAAAIAIdO4kAu2SSsxgEAAIwDAAAOAAAAAAAAAAEAIAAAACQBAABkcnMvZTJv&#10;RG9jLnhtbFBLBQYAAAAABgAGAFkBAABcBQAAAAA=&#10;">
              <v:fill on="f" focussize="0,0"/>
              <v:stroke on="f"/>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5185410</wp:posOffset>
              </wp:positionH>
              <wp:positionV relativeFrom="paragraph">
                <wp:posOffset>-63500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08.3pt;margin-top:-5pt;height:144pt;width:144pt;mso-position-horizontal-relative:margin;mso-wrap-style:none;z-index:251659264;mso-width-relative:page;mso-height-relative:page;" filled="f" stroked="f" coordsize="21600,21600" o:gfxdata="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LEctgAAAAMAQAADwAAAAAAAAABACAAAAAi&#10;AAAAZHJzL2Rvd25yZXYueG1sUEsBAhQAFAAAAAgAh07iQHylk1nRAQAAogMAAA4AAAAAAAAAAQAg&#10;AAAAJwEAAGRycy9lMm9Eb2MueG1sUEsFBgAAAAAGAAYAWQEAAGo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F685B"/>
    <w:rsid w:val="0BB23AB3"/>
    <w:rsid w:val="66BD45D2"/>
    <w:rsid w:val="78BF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100" w:beforeLines="100" w:after="50" w:afterLines="50" w:line="360" w:lineRule="auto"/>
      <w:outlineLvl w:val="0"/>
    </w:pPr>
    <w:rPr>
      <w:rFonts w:eastAsia="微软雅黑"/>
      <w:b/>
      <w:bCs/>
      <w:kern w:val="44"/>
      <w:sz w:val="36"/>
      <w:szCs w:val="44"/>
    </w:rPr>
  </w:style>
  <w:style w:type="paragraph" w:styleId="5">
    <w:name w:val="heading 2"/>
    <w:basedOn w:val="1"/>
    <w:next w:val="1"/>
    <w:qFormat/>
    <w:uiPriority w:val="0"/>
    <w:pPr>
      <w:keepNext/>
      <w:keepLines/>
      <w:spacing w:after="50" w:afterLines="50" w:line="360" w:lineRule="auto"/>
      <w:outlineLvl w:val="1"/>
    </w:pPr>
    <w:rPr>
      <w:rFonts w:ascii="Arial" w:hAnsi="Arial" w:eastAsia="微软雅黑"/>
      <w:b/>
      <w:bCs/>
      <w:sz w:val="32"/>
      <w:szCs w:val="32"/>
    </w:rPr>
  </w:style>
  <w:style w:type="paragraph" w:styleId="3">
    <w:name w:val="heading 4"/>
    <w:basedOn w:val="1"/>
    <w:next w:val="1"/>
    <w:unhideWhenUsed/>
    <w:qFormat/>
    <w:uiPriority w:val="0"/>
    <w:pPr>
      <w:keepNext/>
      <w:keepLines/>
      <w:spacing w:before="280" w:beforeLines="0" w:beforeAutospacing="0" w:after="290" w:afterLines="0" w:afterAutospacing="0" w:line="580" w:lineRule="exact"/>
      <w:outlineLvl w:val="3"/>
    </w:pPr>
    <w:rPr>
      <w:rFonts w:ascii="Arial" w:hAnsi="Arial" w:eastAsia="仿宋_GB2312"/>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11">
    <w:name w:val="Default"/>
    <w:basedOn w:val="12"/>
    <w:next w:val="10"/>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2">
    <w:name w:val="纯文本1"/>
    <w:basedOn w:val="1"/>
    <w:qFormat/>
    <w:uiPriority w:val="0"/>
    <w:pPr>
      <w:textAlignment w:val="baseline"/>
    </w:pPr>
    <w:rPr>
      <w:rFonts w:ascii="宋体" w:hAnsi="Courier New" w:eastAsia="宋体" w:cs="Times New Roman"/>
    </w:rPr>
  </w:style>
  <w:style w:type="character" w:customStyle="1" w:styleId="13">
    <w:name w:val="font11"/>
    <w:basedOn w:val="8"/>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2023-05-22T00:59:00Z</dcterms:created>
  <dc:creator>lenovo</dc:creator>
  <cp:lastModifiedBy>lenovo</cp:lastModifiedBy>
  <cp:lastPrinted>2023-05-22T09:40:05Z</cp:lastPrinted>
  <dcterms:modified xsi:type="dcterms:W3CDTF">2023-05-22T09:40:33Z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18A7EB1E73384234A163071D5BA548DF</vt:lpwstr>
  </property>
</Properties>
</file>